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0"/>
        </w:rPr>
      </w:pPr>
      <w:bookmarkStart w:id="0" w:name="_GoBack"/>
      <w:bookmarkEnd w:id="0"/>
      <w:r>
        <w:rPr>
          <w:rFonts w:hint="eastAsia" w:ascii="宋体" w:hAnsi="宋体"/>
          <w:b/>
          <w:sz w:val="44"/>
          <w:szCs w:val="40"/>
        </w:rPr>
        <w:t>用 户 需 求 书</w:t>
      </w:r>
    </w:p>
    <w:p>
      <w:pPr>
        <w:jc w:val="center"/>
        <w:rPr>
          <w:rFonts w:ascii="仿宋_GB2312" w:eastAsia="仿宋_GB2312"/>
          <w:b/>
          <w:sz w:val="32"/>
          <w:szCs w:val="28"/>
        </w:rPr>
      </w:pPr>
    </w:p>
    <w:p>
      <w:pPr>
        <w:numPr>
          <w:ilvl w:val="0"/>
          <w:numId w:val="1"/>
        </w:numPr>
        <w:spacing w:line="360" w:lineRule="auto"/>
        <w:rPr>
          <w:rFonts w:ascii="宋体" w:hAnsi="宋体"/>
          <w:b/>
          <w:sz w:val="28"/>
          <w:szCs w:val="28"/>
        </w:rPr>
      </w:pPr>
      <w:r>
        <w:rPr>
          <w:rFonts w:hint="eastAsia" w:ascii="宋体" w:hAnsi="宋体"/>
          <w:b/>
          <w:sz w:val="28"/>
          <w:szCs w:val="28"/>
        </w:rPr>
        <w:t>项目概况</w:t>
      </w:r>
    </w:p>
    <w:p>
      <w:pPr>
        <w:numPr>
          <w:ilvl w:val="0"/>
          <w:numId w:val="2"/>
        </w:numPr>
        <w:spacing w:line="360" w:lineRule="auto"/>
        <w:rPr>
          <w:rFonts w:ascii="宋体" w:hAnsi="宋体"/>
          <w:b/>
          <w:sz w:val="28"/>
          <w:szCs w:val="28"/>
        </w:rPr>
      </w:pPr>
      <w:r>
        <w:rPr>
          <w:rFonts w:hint="eastAsia" w:ascii="宋体" w:hAnsi="宋体"/>
          <w:b/>
          <w:sz w:val="28"/>
          <w:szCs w:val="28"/>
        </w:rPr>
        <w:t>项目名称</w:t>
      </w:r>
    </w:p>
    <w:p>
      <w:pPr>
        <w:spacing w:line="360" w:lineRule="auto"/>
        <w:ind w:right="-20" w:firstLine="432" w:firstLineChars="180"/>
        <w:jc w:val="left"/>
        <w:rPr>
          <w:rFonts w:ascii="宋体" w:hAnsi="宋体"/>
          <w:sz w:val="24"/>
          <w:szCs w:val="24"/>
        </w:rPr>
      </w:pPr>
      <w:r>
        <w:rPr>
          <w:rFonts w:hint="eastAsia" w:ascii="宋体" w:hAnsi="宋体"/>
          <w:sz w:val="24"/>
          <w:szCs w:val="24"/>
        </w:rPr>
        <w:t>广东松山职业技术学院公有云服务采购项目</w:t>
      </w:r>
    </w:p>
    <w:p>
      <w:pPr>
        <w:numPr>
          <w:ilvl w:val="0"/>
          <w:numId w:val="2"/>
        </w:numPr>
        <w:spacing w:line="360" w:lineRule="auto"/>
        <w:rPr>
          <w:rFonts w:ascii="宋体" w:hAnsi="宋体"/>
          <w:b/>
          <w:sz w:val="28"/>
          <w:szCs w:val="28"/>
        </w:rPr>
      </w:pPr>
      <w:r>
        <w:rPr>
          <w:rFonts w:hint="eastAsia" w:ascii="宋体" w:hAnsi="宋体"/>
          <w:b/>
          <w:sz w:val="28"/>
          <w:szCs w:val="28"/>
        </w:rPr>
        <w:t>项目背景</w:t>
      </w:r>
    </w:p>
    <w:p>
      <w:pPr>
        <w:spacing w:line="360" w:lineRule="auto"/>
        <w:ind w:right="-20" w:firstLine="432" w:firstLineChars="180"/>
        <w:jc w:val="left"/>
        <w:rPr>
          <w:rFonts w:ascii="宋体" w:hAnsi="宋体"/>
          <w:sz w:val="24"/>
          <w:szCs w:val="24"/>
        </w:rPr>
      </w:pPr>
      <w:r>
        <w:rPr>
          <w:rFonts w:hint="eastAsia" w:ascii="宋体" w:hAnsi="宋体"/>
          <w:sz w:val="24"/>
          <w:szCs w:val="24"/>
        </w:rPr>
        <w:t>广东松山职业技术学院于2016年进行了全院的信息化改造，构建了基于虚拟化技术打造的信息化系统平台，为整个院校及广大师生提供稳定的信息化系统服务。为进一步保证系统稳定，提高灾难事件发生时的可恢复性,计划打造异地数据容灾场景来保证全院的教学数据资源；同时解决不同运营商之间数据互联互通的问题，故计划采用公有云服务，将上述的需求在公有云平台中进行实现。</w:t>
      </w:r>
    </w:p>
    <w:p>
      <w:pPr>
        <w:spacing w:line="360" w:lineRule="auto"/>
        <w:ind w:right="-20"/>
        <w:jc w:val="left"/>
        <w:rPr>
          <w:rFonts w:ascii="宋体" w:hAnsi="宋体" w:cs="仿宋_GB2312"/>
          <w:w w:val="99"/>
          <w:sz w:val="24"/>
          <w:szCs w:val="24"/>
          <w:lang w:val="zh-CN"/>
        </w:rPr>
      </w:pPr>
    </w:p>
    <w:p>
      <w:pPr>
        <w:numPr>
          <w:ilvl w:val="0"/>
          <w:numId w:val="1"/>
        </w:numPr>
        <w:spacing w:line="360" w:lineRule="auto"/>
        <w:rPr>
          <w:rFonts w:ascii="宋体" w:hAnsi="宋体"/>
          <w:b/>
          <w:sz w:val="28"/>
          <w:szCs w:val="28"/>
        </w:rPr>
      </w:pPr>
      <w:r>
        <w:rPr>
          <w:rFonts w:hint="eastAsia" w:ascii="宋体" w:hAnsi="宋体"/>
          <w:b/>
          <w:sz w:val="28"/>
          <w:szCs w:val="28"/>
        </w:rPr>
        <w:t>需求总则</w:t>
      </w:r>
    </w:p>
    <w:p>
      <w:pPr>
        <w:widowControl/>
        <w:numPr>
          <w:ilvl w:val="6"/>
          <w:numId w:val="3"/>
        </w:numPr>
        <w:tabs>
          <w:tab w:val="left" w:pos="424"/>
          <w:tab w:val="clear" w:pos="3240"/>
        </w:tabs>
        <w:spacing w:line="460" w:lineRule="exact"/>
        <w:ind w:left="424" w:hanging="424"/>
        <w:jc w:val="left"/>
        <w:rPr>
          <w:rFonts w:ascii="宋体" w:hAnsi="宋体"/>
          <w:sz w:val="24"/>
          <w:szCs w:val="24"/>
        </w:rPr>
      </w:pPr>
      <w:r>
        <w:rPr>
          <w:rFonts w:hint="eastAsia" w:ascii="宋体" w:hAnsi="宋体"/>
          <w:sz w:val="24"/>
          <w:szCs w:val="24"/>
        </w:rPr>
        <w:t>本项目所建议的性能和功能应达到或超过参考指标表中所列技术指标。投标人应注意该表的值仅列出了最低限度。</w:t>
      </w:r>
      <w:r>
        <w:rPr>
          <w:rFonts w:hint="eastAsia" w:ascii="宋体" w:hAnsi="宋体"/>
          <w:b/>
          <w:sz w:val="24"/>
          <w:szCs w:val="24"/>
        </w:rPr>
        <w:t>投标人在响应建议中必须列出具体数值。如果投标人只注明“符合”或“满足”，将被视为“不符合”。</w:t>
      </w:r>
    </w:p>
    <w:p>
      <w:pPr>
        <w:widowControl/>
        <w:numPr>
          <w:ilvl w:val="6"/>
          <w:numId w:val="3"/>
        </w:numPr>
        <w:tabs>
          <w:tab w:val="left" w:pos="424"/>
          <w:tab w:val="clear" w:pos="3240"/>
        </w:tabs>
        <w:spacing w:line="460" w:lineRule="exact"/>
        <w:ind w:left="424" w:hanging="424"/>
        <w:jc w:val="left"/>
        <w:rPr>
          <w:rFonts w:ascii="宋体" w:hAnsi="宋体"/>
          <w:sz w:val="24"/>
          <w:szCs w:val="24"/>
        </w:rPr>
      </w:pPr>
      <w:r>
        <w:rPr>
          <w:rFonts w:hint="eastAsia" w:ascii="宋体" w:hAnsi="宋体"/>
          <w:sz w:val="24"/>
          <w:szCs w:val="24"/>
        </w:rPr>
        <w:t>本项目不接受联合体投标</w:t>
      </w:r>
      <w:r>
        <w:rPr>
          <w:rFonts w:ascii="宋体" w:hAnsi="宋体"/>
          <w:sz w:val="24"/>
          <w:szCs w:val="24"/>
        </w:rPr>
        <w:t>。</w:t>
      </w:r>
    </w:p>
    <w:p>
      <w:pPr>
        <w:widowControl/>
        <w:numPr>
          <w:ilvl w:val="6"/>
          <w:numId w:val="3"/>
        </w:numPr>
        <w:tabs>
          <w:tab w:val="left" w:pos="424"/>
          <w:tab w:val="clear" w:pos="3240"/>
        </w:tabs>
        <w:spacing w:line="460" w:lineRule="exact"/>
        <w:ind w:left="424" w:hanging="424"/>
        <w:jc w:val="left"/>
        <w:rPr>
          <w:rFonts w:ascii="宋体" w:hAnsi="宋体"/>
          <w:sz w:val="24"/>
          <w:szCs w:val="24"/>
        </w:rPr>
      </w:pPr>
      <w:r>
        <w:rPr>
          <w:rFonts w:hint="eastAsia" w:ascii="宋体" w:hAnsi="宋体"/>
          <w:sz w:val="24"/>
          <w:szCs w:val="24"/>
        </w:rPr>
        <w:t>在招标文件中凡有“★”标识的内容条款被视为重要的响应要求、技术指标要求和性能要求。投标人必须对此作出回答并完全满足这些要求不可以出现任何负偏离，如果出现负偏离则将被视为无效投标。</w:t>
      </w:r>
    </w:p>
    <w:p>
      <w:pPr>
        <w:rPr>
          <w:rFonts w:ascii="仿宋_GB2312" w:hAnsi="仿宋" w:eastAsia="仿宋_GB2312"/>
          <w:sz w:val="24"/>
          <w:lang w:val="hr-HR"/>
        </w:rPr>
      </w:pPr>
    </w:p>
    <w:p>
      <w:pPr>
        <w:numPr>
          <w:ilvl w:val="0"/>
          <w:numId w:val="1"/>
        </w:numPr>
        <w:spacing w:line="360" w:lineRule="auto"/>
        <w:rPr>
          <w:rFonts w:ascii="宋体" w:hAnsi="宋体"/>
          <w:b/>
          <w:sz w:val="28"/>
          <w:szCs w:val="28"/>
        </w:rPr>
      </w:pPr>
      <w:r>
        <w:rPr>
          <w:rFonts w:hint="eastAsia" w:ascii="宋体" w:hAnsi="宋体"/>
          <w:b/>
          <w:sz w:val="28"/>
          <w:szCs w:val="28"/>
        </w:rPr>
        <w:t>投标人资格：</w:t>
      </w:r>
    </w:p>
    <w:p>
      <w:pPr>
        <w:widowControl/>
        <w:numPr>
          <w:ilvl w:val="6"/>
          <w:numId w:val="4"/>
        </w:numPr>
        <w:tabs>
          <w:tab w:val="left" w:pos="426"/>
          <w:tab w:val="clear" w:pos="3240"/>
        </w:tabs>
        <w:spacing w:line="460" w:lineRule="exact"/>
        <w:ind w:left="426" w:hanging="426"/>
        <w:jc w:val="left"/>
        <w:rPr>
          <w:rFonts w:ascii="宋体" w:hAnsi="宋体"/>
          <w:sz w:val="24"/>
          <w:szCs w:val="24"/>
        </w:rPr>
      </w:pPr>
      <w:r>
        <w:rPr>
          <w:rFonts w:hint="eastAsia" w:ascii="宋体" w:hAnsi="宋体"/>
          <w:sz w:val="24"/>
          <w:szCs w:val="24"/>
        </w:rPr>
        <w:t>投标人</w:t>
      </w:r>
      <w:r>
        <w:rPr>
          <w:rFonts w:ascii="宋体" w:hAnsi="宋体"/>
          <w:sz w:val="24"/>
          <w:szCs w:val="24"/>
        </w:rPr>
        <w:t>具备《政府采购法》第二十二条所规定的条件。</w:t>
      </w:r>
    </w:p>
    <w:p>
      <w:pPr>
        <w:widowControl/>
        <w:numPr>
          <w:ilvl w:val="6"/>
          <w:numId w:val="4"/>
        </w:numPr>
        <w:tabs>
          <w:tab w:val="left" w:pos="424"/>
          <w:tab w:val="clear" w:pos="3240"/>
        </w:tabs>
        <w:spacing w:line="460" w:lineRule="exact"/>
        <w:ind w:left="424" w:leftChars="1" w:hanging="422" w:hangingChars="176"/>
        <w:jc w:val="left"/>
        <w:rPr>
          <w:rFonts w:ascii="宋体" w:hAnsi="宋体"/>
          <w:sz w:val="24"/>
          <w:szCs w:val="24"/>
        </w:rPr>
      </w:pPr>
      <w:r>
        <w:rPr>
          <w:rFonts w:hint="eastAsia" w:ascii="宋体" w:hAnsi="宋体"/>
          <w:sz w:val="24"/>
          <w:szCs w:val="24"/>
        </w:rPr>
        <w:t>投标人必须是具有独立承担民事责任能力的在中华人民共和国境内注册的法人，投标时提交有效的企业法人营业执照（或事业法人登记证）副本复印件。</w:t>
      </w:r>
    </w:p>
    <w:p>
      <w:pPr>
        <w:widowControl/>
        <w:numPr>
          <w:ilvl w:val="6"/>
          <w:numId w:val="4"/>
        </w:numPr>
        <w:tabs>
          <w:tab w:val="left" w:pos="424"/>
          <w:tab w:val="clear" w:pos="3240"/>
        </w:tabs>
        <w:spacing w:line="460" w:lineRule="exact"/>
        <w:ind w:left="484" w:leftChars="1" w:hanging="482" w:hangingChars="201"/>
        <w:jc w:val="left"/>
        <w:rPr>
          <w:rFonts w:ascii="宋体" w:hAnsi="宋体"/>
          <w:sz w:val="24"/>
          <w:szCs w:val="24"/>
        </w:rPr>
      </w:pPr>
      <w:r>
        <w:rPr>
          <w:rFonts w:hint="eastAsia" w:ascii="宋体" w:hAnsi="宋体"/>
          <w:sz w:val="24"/>
          <w:szCs w:val="24"/>
        </w:rPr>
        <w:t>已登记报名并获取本项目采购文件。</w:t>
      </w:r>
    </w:p>
    <w:p>
      <w:pPr>
        <w:widowControl/>
        <w:numPr>
          <w:ilvl w:val="6"/>
          <w:numId w:val="4"/>
        </w:numPr>
        <w:tabs>
          <w:tab w:val="left" w:pos="424"/>
          <w:tab w:val="clear" w:pos="3240"/>
        </w:tabs>
        <w:spacing w:line="460" w:lineRule="exact"/>
        <w:ind w:left="484" w:leftChars="1" w:hanging="482" w:hangingChars="201"/>
        <w:jc w:val="left"/>
        <w:rPr>
          <w:rFonts w:ascii="宋体" w:hAnsi="宋体"/>
          <w:sz w:val="24"/>
          <w:szCs w:val="24"/>
        </w:rPr>
      </w:pPr>
      <w:r>
        <w:rPr>
          <w:rFonts w:hint="eastAsia" w:ascii="宋体" w:hAnsi="宋体"/>
          <w:sz w:val="24"/>
          <w:szCs w:val="24"/>
        </w:rPr>
        <w:t>本项目不接受联合体投标。</w:t>
      </w:r>
    </w:p>
    <w:p>
      <w:pPr>
        <w:autoSpaceDE w:val="0"/>
        <w:autoSpaceDN w:val="0"/>
        <w:spacing w:line="360" w:lineRule="auto"/>
        <w:rPr>
          <w:rFonts w:ascii="仿宋_GB2312" w:hAnsi="仿宋" w:eastAsia="仿宋_GB2312"/>
          <w:sz w:val="24"/>
        </w:rPr>
      </w:pPr>
    </w:p>
    <w:p>
      <w:pPr>
        <w:numPr>
          <w:ilvl w:val="0"/>
          <w:numId w:val="1"/>
        </w:numPr>
        <w:spacing w:line="360" w:lineRule="auto"/>
        <w:rPr>
          <w:rFonts w:ascii="宋体" w:hAnsi="宋体"/>
          <w:b/>
          <w:sz w:val="28"/>
          <w:szCs w:val="28"/>
        </w:rPr>
      </w:pPr>
      <w:r>
        <w:rPr>
          <w:rFonts w:hint="eastAsia" w:ascii="宋体" w:hAnsi="宋体"/>
          <w:b/>
          <w:sz w:val="28"/>
          <w:szCs w:val="28"/>
        </w:rPr>
        <w:t>采购项目技术规格、参数及要求：</w:t>
      </w:r>
    </w:p>
    <w:p>
      <w:pPr>
        <w:numPr>
          <w:ilvl w:val="0"/>
          <w:numId w:val="5"/>
        </w:numPr>
        <w:spacing w:line="360" w:lineRule="auto"/>
        <w:rPr>
          <w:rFonts w:ascii="宋体" w:hAnsi="宋体"/>
          <w:b/>
          <w:sz w:val="28"/>
          <w:szCs w:val="28"/>
        </w:rPr>
      </w:pPr>
      <w:r>
        <w:rPr>
          <w:rFonts w:hint="eastAsia" w:ascii="宋体" w:hAnsi="宋体"/>
          <w:b/>
          <w:sz w:val="28"/>
          <w:szCs w:val="28"/>
        </w:rPr>
        <w:t>采购项目需求一览表：</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81"/>
        <w:gridCol w:w="7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宋体" w:hAnsi="宋体"/>
                <w:b/>
                <w:sz w:val="24"/>
                <w:szCs w:val="24"/>
              </w:rPr>
            </w:pPr>
            <w:r>
              <w:rPr>
                <w:rFonts w:hint="eastAsia" w:ascii="宋体" w:hAnsi="宋体"/>
                <w:b/>
                <w:sz w:val="24"/>
                <w:szCs w:val="24"/>
              </w:rPr>
              <w:t>序号</w:t>
            </w:r>
          </w:p>
        </w:tc>
        <w:tc>
          <w:tcPr>
            <w:tcW w:w="1181" w:type="dxa"/>
          </w:tcPr>
          <w:p>
            <w:pPr>
              <w:tabs>
                <w:tab w:val="left" w:pos="180"/>
                <w:tab w:val="left" w:pos="1620"/>
              </w:tabs>
              <w:spacing w:line="360" w:lineRule="auto"/>
              <w:jc w:val="center"/>
              <w:rPr>
                <w:rFonts w:ascii="宋体" w:hAnsi="宋体"/>
                <w:b/>
                <w:sz w:val="24"/>
                <w:szCs w:val="24"/>
              </w:rPr>
            </w:pPr>
            <w:r>
              <w:rPr>
                <w:rFonts w:hint="eastAsia" w:ascii="宋体" w:hAnsi="宋体"/>
                <w:b/>
                <w:sz w:val="24"/>
                <w:szCs w:val="24"/>
              </w:rPr>
              <w:t>项目</w:t>
            </w:r>
          </w:p>
        </w:tc>
        <w:tc>
          <w:tcPr>
            <w:tcW w:w="7129" w:type="dxa"/>
          </w:tcPr>
          <w:p>
            <w:pPr>
              <w:tabs>
                <w:tab w:val="left" w:pos="180"/>
                <w:tab w:val="left" w:pos="1620"/>
              </w:tabs>
              <w:spacing w:line="360" w:lineRule="auto"/>
              <w:jc w:val="center"/>
              <w:rPr>
                <w:rFonts w:ascii="宋体" w:hAnsi="宋体"/>
                <w:b/>
                <w:sz w:val="24"/>
                <w:szCs w:val="24"/>
              </w:rPr>
            </w:pPr>
            <w:r>
              <w:rPr>
                <w:rFonts w:hint="eastAsia" w:ascii="宋体" w:hAnsi="宋体"/>
                <w:b/>
                <w:sz w:val="24"/>
                <w:szCs w:val="24"/>
              </w:rPr>
              <w:t>规格</w:t>
            </w:r>
            <w:r>
              <w:rPr>
                <w:rFonts w:ascii="宋体" w:hAnsi="宋体"/>
                <w:b/>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943" w:type="dxa"/>
            <w:gridSpan w:val="2"/>
          </w:tcPr>
          <w:p>
            <w:pPr>
              <w:tabs>
                <w:tab w:val="left" w:pos="180"/>
                <w:tab w:val="left" w:pos="1620"/>
              </w:tabs>
              <w:spacing w:line="360" w:lineRule="auto"/>
              <w:jc w:val="center"/>
              <w:rPr>
                <w:rFonts w:ascii="宋体" w:hAnsi="宋体"/>
                <w:b/>
                <w:sz w:val="24"/>
                <w:szCs w:val="24"/>
              </w:rPr>
            </w:pPr>
            <w:r>
              <w:rPr>
                <w:rFonts w:hint="eastAsia" w:ascii="宋体" w:hAnsi="宋体"/>
                <w:b/>
                <w:sz w:val="24"/>
                <w:szCs w:val="24"/>
              </w:rPr>
              <w:t>公有云服务采购内容</w:t>
            </w:r>
          </w:p>
        </w:tc>
        <w:tc>
          <w:tcPr>
            <w:tcW w:w="7129" w:type="dxa"/>
          </w:tcPr>
          <w:p>
            <w:pPr>
              <w:widowControl/>
              <w:jc w:val="left"/>
              <w:rPr>
                <w:rFonts w:ascii="宋体" w:hAnsi="宋体" w:cs="宋体"/>
                <w:bCs/>
                <w:kern w:val="0"/>
                <w:sz w:val="24"/>
                <w:szCs w:val="24"/>
              </w:rPr>
            </w:pPr>
            <w:r>
              <w:rPr>
                <w:rFonts w:hint="eastAsia" w:ascii="宋体" w:hAnsi="宋体"/>
                <w:sz w:val="24"/>
                <w:szCs w:val="24"/>
              </w:rPr>
              <w:t>★ 本次拟采购公有云服务的计算资源，服务期限为3年，具体配置如下</w:t>
            </w:r>
            <w:r>
              <w:rPr>
                <w:rFonts w:hint="eastAsia" w:ascii="宋体" w:hAnsi="宋体" w:cs="宋体"/>
                <w:bCs/>
                <w:kern w:val="0"/>
                <w:sz w:val="24"/>
                <w:szCs w:val="24"/>
              </w:rPr>
              <w:t>：</w:t>
            </w:r>
          </w:p>
          <w:p>
            <w:pPr>
              <w:widowControl/>
              <w:jc w:val="left"/>
              <w:rPr>
                <w:rFonts w:ascii="宋体" w:hAnsi="宋体"/>
                <w:sz w:val="24"/>
                <w:szCs w:val="24"/>
              </w:rPr>
            </w:pPr>
            <w:r>
              <w:rPr>
                <w:rFonts w:hint="eastAsia" w:ascii="宋体" w:hAnsi="宋体"/>
                <w:sz w:val="24"/>
                <w:szCs w:val="24"/>
              </w:rPr>
              <w:t>一、云主机A（共4台）</w:t>
            </w:r>
          </w:p>
          <w:p>
            <w:pPr>
              <w:widowControl/>
              <w:jc w:val="left"/>
              <w:rPr>
                <w:rFonts w:ascii="宋体" w:hAnsi="宋体" w:cs="宋体"/>
                <w:bCs/>
                <w:kern w:val="0"/>
                <w:sz w:val="24"/>
                <w:szCs w:val="24"/>
              </w:rPr>
            </w:pPr>
            <w:r>
              <w:rPr>
                <w:rFonts w:ascii="宋体" w:hAnsi="宋体" w:cs="宋体"/>
                <w:bCs/>
                <w:kern w:val="0"/>
                <w:sz w:val="24"/>
                <w:szCs w:val="24"/>
              </w:rPr>
              <w:t>CPU</w:t>
            </w:r>
            <w:r>
              <w:rPr>
                <w:rFonts w:hint="eastAsia" w:ascii="宋体" w:hAnsi="宋体" w:cs="宋体"/>
                <w:kern w:val="0"/>
                <w:szCs w:val="21"/>
              </w:rPr>
              <w:t>≥</w:t>
            </w:r>
            <w:r>
              <w:rPr>
                <w:rFonts w:hint="eastAsia" w:ascii="宋体" w:hAnsi="宋体" w:cs="宋体"/>
                <w:bCs/>
                <w:kern w:val="0"/>
                <w:sz w:val="24"/>
                <w:szCs w:val="24"/>
              </w:rPr>
              <w:t>4核，内存</w:t>
            </w:r>
            <w:r>
              <w:rPr>
                <w:rFonts w:hint="eastAsia" w:ascii="宋体" w:hAnsi="宋体" w:cs="宋体"/>
                <w:kern w:val="0"/>
                <w:szCs w:val="21"/>
              </w:rPr>
              <w:t>≥</w:t>
            </w:r>
            <w:r>
              <w:rPr>
                <w:rFonts w:hint="eastAsia" w:ascii="宋体" w:hAnsi="宋体" w:cs="宋体"/>
                <w:bCs/>
                <w:kern w:val="0"/>
                <w:sz w:val="24"/>
                <w:szCs w:val="24"/>
              </w:rPr>
              <w:t>8</w:t>
            </w:r>
            <w:r>
              <w:rPr>
                <w:rFonts w:ascii="宋体" w:hAnsi="宋体" w:cs="宋体"/>
                <w:bCs/>
                <w:kern w:val="0"/>
                <w:sz w:val="24"/>
                <w:szCs w:val="24"/>
              </w:rPr>
              <w:t xml:space="preserve"> </w:t>
            </w:r>
            <w:r>
              <w:rPr>
                <w:rFonts w:hint="eastAsia" w:ascii="宋体" w:hAnsi="宋体" w:cs="宋体"/>
                <w:bCs/>
                <w:kern w:val="0"/>
                <w:sz w:val="24"/>
                <w:szCs w:val="24"/>
              </w:rPr>
              <w:t>GB，系统盘</w:t>
            </w:r>
            <w:r>
              <w:rPr>
                <w:rFonts w:hint="eastAsia" w:ascii="宋体" w:hAnsi="宋体" w:cs="宋体"/>
                <w:kern w:val="0"/>
                <w:szCs w:val="21"/>
              </w:rPr>
              <w:t>≥</w:t>
            </w:r>
            <w:r>
              <w:rPr>
                <w:rFonts w:hint="eastAsia" w:ascii="宋体" w:hAnsi="宋体" w:cs="宋体"/>
                <w:bCs/>
                <w:kern w:val="0"/>
                <w:sz w:val="24"/>
                <w:szCs w:val="24"/>
              </w:rPr>
              <w:t>50</w:t>
            </w:r>
            <w:r>
              <w:rPr>
                <w:rFonts w:ascii="宋体" w:hAnsi="宋体" w:cs="宋体"/>
                <w:bCs/>
                <w:kern w:val="0"/>
                <w:sz w:val="24"/>
                <w:szCs w:val="24"/>
              </w:rPr>
              <w:t xml:space="preserve"> </w:t>
            </w:r>
            <w:r>
              <w:rPr>
                <w:rFonts w:hint="eastAsia" w:ascii="宋体" w:hAnsi="宋体" w:cs="宋体"/>
                <w:bCs/>
                <w:kern w:val="0"/>
                <w:sz w:val="24"/>
                <w:szCs w:val="24"/>
              </w:rPr>
              <w:t>GB，数据盘</w:t>
            </w:r>
            <w:r>
              <w:rPr>
                <w:rFonts w:hint="eastAsia" w:ascii="宋体" w:hAnsi="宋体" w:cs="宋体"/>
                <w:kern w:val="0"/>
                <w:szCs w:val="21"/>
              </w:rPr>
              <w:t>≥</w:t>
            </w:r>
            <w:r>
              <w:rPr>
                <w:rFonts w:hint="eastAsia" w:ascii="宋体" w:hAnsi="宋体" w:cs="宋体"/>
                <w:bCs/>
                <w:kern w:val="0"/>
                <w:sz w:val="24"/>
                <w:szCs w:val="24"/>
              </w:rPr>
              <w:t>300</w:t>
            </w:r>
            <w:r>
              <w:rPr>
                <w:rFonts w:ascii="宋体" w:hAnsi="宋体" w:cs="宋体"/>
                <w:bCs/>
                <w:kern w:val="0"/>
                <w:sz w:val="24"/>
                <w:szCs w:val="24"/>
              </w:rPr>
              <w:t xml:space="preserve"> </w:t>
            </w:r>
            <w:r>
              <w:rPr>
                <w:rFonts w:hint="eastAsia" w:ascii="宋体" w:hAnsi="宋体" w:cs="宋体"/>
                <w:bCs/>
                <w:kern w:val="0"/>
                <w:sz w:val="24"/>
                <w:szCs w:val="24"/>
              </w:rPr>
              <w:t>GB，带宽</w:t>
            </w:r>
            <w:r>
              <w:rPr>
                <w:rFonts w:hint="eastAsia" w:ascii="宋体" w:hAnsi="宋体" w:cs="宋体"/>
                <w:kern w:val="0"/>
                <w:szCs w:val="21"/>
              </w:rPr>
              <w:t>≥</w:t>
            </w:r>
            <w:r>
              <w:rPr>
                <w:rFonts w:hint="eastAsia" w:ascii="宋体" w:hAnsi="宋体" w:cs="宋体"/>
                <w:bCs/>
                <w:kern w:val="0"/>
                <w:sz w:val="24"/>
                <w:szCs w:val="24"/>
              </w:rPr>
              <w:t>BGP 2M；</w:t>
            </w:r>
          </w:p>
          <w:p>
            <w:pPr>
              <w:widowControl/>
              <w:jc w:val="left"/>
              <w:rPr>
                <w:rFonts w:ascii="宋体" w:hAnsi="宋体" w:cs="宋体"/>
                <w:bCs/>
                <w:kern w:val="0"/>
                <w:sz w:val="24"/>
                <w:szCs w:val="24"/>
              </w:rPr>
            </w:pPr>
            <w:r>
              <w:rPr>
                <w:rFonts w:hint="eastAsia" w:ascii="宋体" w:hAnsi="宋体" w:cs="宋体"/>
                <w:bCs/>
                <w:kern w:val="0"/>
                <w:sz w:val="24"/>
                <w:szCs w:val="24"/>
              </w:rPr>
              <w:t>二、云主机B（共2台）</w:t>
            </w:r>
          </w:p>
          <w:p>
            <w:pPr>
              <w:widowControl/>
              <w:jc w:val="left"/>
              <w:rPr>
                <w:rFonts w:ascii="宋体" w:hAnsi="宋体"/>
                <w:sz w:val="24"/>
                <w:szCs w:val="24"/>
              </w:rPr>
            </w:pPr>
            <w:r>
              <w:rPr>
                <w:rFonts w:ascii="宋体" w:hAnsi="宋体" w:cs="宋体"/>
                <w:bCs/>
                <w:kern w:val="0"/>
                <w:sz w:val="24"/>
                <w:szCs w:val="24"/>
              </w:rPr>
              <w:t>CPU</w:t>
            </w:r>
            <w:r>
              <w:rPr>
                <w:rFonts w:hint="eastAsia" w:ascii="宋体" w:hAnsi="宋体" w:cs="宋体"/>
                <w:kern w:val="0"/>
                <w:szCs w:val="21"/>
              </w:rPr>
              <w:t>≥</w:t>
            </w:r>
            <w:r>
              <w:rPr>
                <w:rFonts w:hint="eastAsia" w:ascii="宋体" w:hAnsi="宋体"/>
                <w:sz w:val="24"/>
                <w:szCs w:val="24"/>
              </w:rPr>
              <w:t>8核，内存</w:t>
            </w:r>
            <w:r>
              <w:rPr>
                <w:rFonts w:hint="eastAsia" w:ascii="宋体" w:hAnsi="宋体" w:cs="宋体"/>
                <w:kern w:val="0"/>
                <w:szCs w:val="21"/>
              </w:rPr>
              <w:t>≥</w:t>
            </w:r>
            <w:r>
              <w:rPr>
                <w:rFonts w:hint="eastAsia" w:ascii="宋体" w:hAnsi="宋体"/>
                <w:sz w:val="24"/>
                <w:szCs w:val="24"/>
              </w:rPr>
              <w:t>32</w:t>
            </w:r>
            <w:r>
              <w:rPr>
                <w:rFonts w:ascii="宋体" w:hAnsi="宋体"/>
                <w:sz w:val="24"/>
                <w:szCs w:val="24"/>
              </w:rPr>
              <w:t xml:space="preserve"> </w:t>
            </w:r>
            <w:r>
              <w:rPr>
                <w:rFonts w:hint="eastAsia" w:ascii="宋体" w:hAnsi="宋体"/>
                <w:sz w:val="24"/>
                <w:szCs w:val="24"/>
              </w:rPr>
              <w:t>GB，系统盘</w:t>
            </w:r>
            <w:r>
              <w:rPr>
                <w:rFonts w:hint="eastAsia" w:ascii="宋体" w:hAnsi="宋体" w:cs="宋体"/>
                <w:kern w:val="0"/>
                <w:szCs w:val="21"/>
              </w:rPr>
              <w:t>≥</w:t>
            </w:r>
            <w:r>
              <w:rPr>
                <w:rFonts w:hint="eastAsia" w:ascii="宋体" w:hAnsi="宋体"/>
                <w:sz w:val="24"/>
                <w:szCs w:val="24"/>
              </w:rPr>
              <w:t>50</w:t>
            </w:r>
            <w:r>
              <w:rPr>
                <w:rFonts w:ascii="宋体" w:hAnsi="宋体"/>
                <w:sz w:val="24"/>
                <w:szCs w:val="24"/>
              </w:rPr>
              <w:t xml:space="preserve"> </w:t>
            </w:r>
            <w:r>
              <w:rPr>
                <w:rFonts w:hint="eastAsia" w:ascii="宋体" w:hAnsi="宋体"/>
                <w:sz w:val="24"/>
                <w:szCs w:val="24"/>
              </w:rPr>
              <w:t>GB，数据盘</w:t>
            </w:r>
            <w:r>
              <w:rPr>
                <w:rFonts w:hint="eastAsia" w:ascii="宋体" w:hAnsi="宋体" w:cs="宋体"/>
                <w:kern w:val="0"/>
                <w:szCs w:val="21"/>
              </w:rPr>
              <w:t>≥</w:t>
            </w:r>
            <w:r>
              <w:rPr>
                <w:rFonts w:hint="eastAsia" w:ascii="宋体" w:hAnsi="宋体"/>
                <w:sz w:val="24"/>
                <w:szCs w:val="24"/>
              </w:rPr>
              <w:t>500</w:t>
            </w:r>
            <w:r>
              <w:rPr>
                <w:rFonts w:ascii="宋体" w:hAnsi="宋体"/>
                <w:sz w:val="24"/>
                <w:szCs w:val="24"/>
              </w:rPr>
              <w:t xml:space="preserve"> </w:t>
            </w:r>
            <w:r>
              <w:rPr>
                <w:rFonts w:hint="eastAsia" w:ascii="宋体" w:hAnsi="宋体"/>
                <w:sz w:val="24"/>
                <w:szCs w:val="24"/>
              </w:rPr>
              <w:t>GB（S</w:t>
            </w:r>
            <w:r>
              <w:rPr>
                <w:rFonts w:ascii="宋体" w:hAnsi="宋体"/>
                <w:sz w:val="24"/>
                <w:szCs w:val="24"/>
              </w:rPr>
              <w:t>SD</w:t>
            </w:r>
            <w:r>
              <w:rPr>
                <w:rFonts w:hint="eastAsia" w:ascii="宋体" w:hAnsi="宋体"/>
                <w:sz w:val="24"/>
                <w:szCs w:val="24"/>
              </w:rPr>
              <w:t>）带宽</w:t>
            </w:r>
            <w:r>
              <w:rPr>
                <w:rFonts w:hint="eastAsia" w:ascii="宋体" w:hAnsi="宋体" w:cs="宋体"/>
                <w:kern w:val="0"/>
                <w:szCs w:val="21"/>
              </w:rPr>
              <w:t>≥</w:t>
            </w:r>
            <w:r>
              <w:rPr>
                <w:rFonts w:hint="eastAsia" w:ascii="宋体" w:hAnsi="宋体"/>
                <w:sz w:val="24"/>
                <w:szCs w:val="24"/>
              </w:rPr>
              <w:t>BGP 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宋体" w:hAnsi="宋体" w:cs="宋体"/>
                <w:sz w:val="24"/>
                <w:lang w:val="hr-HR"/>
              </w:rPr>
              <w:t>1</w:t>
            </w:r>
          </w:p>
        </w:tc>
        <w:tc>
          <w:tcPr>
            <w:tcW w:w="1181" w:type="dxa"/>
          </w:tcPr>
          <w:p>
            <w:pPr>
              <w:tabs>
                <w:tab w:val="left" w:pos="180"/>
                <w:tab w:val="left" w:pos="1620"/>
              </w:tabs>
              <w:jc w:val="left"/>
              <w:rPr>
                <w:rFonts w:ascii="宋体" w:hAnsi="宋体" w:cs="宋体"/>
                <w:b/>
                <w:sz w:val="24"/>
                <w:szCs w:val="24"/>
              </w:rPr>
            </w:pPr>
            <w:r>
              <w:rPr>
                <w:rFonts w:hint="eastAsia" w:ascii="宋体" w:hAnsi="宋体" w:cs="宋体"/>
                <w:sz w:val="24"/>
                <w:lang w:val="hr-HR"/>
              </w:rPr>
              <w:t>公有云架构要求</w:t>
            </w:r>
          </w:p>
        </w:tc>
        <w:tc>
          <w:tcPr>
            <w:tcW w:w="7129" w:type="dxa"/>
          </w:tcPr>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底层虚拟化需采用裸金属架构，系统框架基于开源的底层虚拟化体系架构，并支持CPU的虚拟化技术。</w:t>
            </w:r>
          </w:p>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虚拟化技术兼容市场上主流服务器供应商提供的主流x86服务器。</w:t>
            </w:r>
          </w:p>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平台各功能组件，提供开放的API接口和SDK，以便进行二次开发。</w:t>
            </w:r>
          </w:p>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支持全高可用架构，且保证无单点故障。</w:t>
            </w:r>
          </w:p>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支持异地灾备与恢复。</w:t>
            </w:r>
          </w:p>
          <w:p>
            <w:pPr>
              <w:widowControl/>
              <w:numPr>
                <w:ilvl w:val="0"/>
                <w:numId w:val="6"/>
              </w:numPr>
              <w:jc w:val="left"/>
              <w:rPr>
                <w:rFonts w:ascii="宋体" w:hAnsi="宋体" w:cs="宋体"/>
                <w:bCs/>
                <w:kern w:val="0"/>
                <w:sz w:val="24"/>
                <w:szCs w:val="24"/>
              </w:rPr>
            </w:pPr>
            <w:r>
              <w:rPr>
                <w:rFonts w:hint="eastAsia" w:ascii="宋体" w:hAnsi="宋体" w:cs="宋体"/>
                <w:bCs/>
                <w:kern w:val="0"/>
                <w:sz w:val="24"/>
                <w:szCs w:val="24"/>
              </w:rPr>
              <w:t>提供普通云主机，CPU独占云主机、GPU云主机多种主机类型。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eastAsia="仿宋_GB2312"/>
                <w:b/>
                <w:sz w:val="24"/>
                <w:szCs w:val="24"/>
              </w:rPr>
            </w:pPr>
            <w:r>
              <w:rPr>
                <w:rFonts w:hint="eastAsia" w:ascii="宋体" w:hAnsi="宋体" w:cs="宋体"/>
                <w:sz w:val="24"/>
                <w:lang w:val="hr-HR"/>
              </w:rPr>
              <w:t>2</w:t>
            </w:r>
          </w:p>
        </w:tc>
        <w:tc>
          <w:tcPr>
            <w:tcW w:w="1181" w:type="dxa"/>
          </w:tcPr>
          <w:p>
            <w:pPr>
              <w:tabs>
                <w:tab w:val="left" w:pos="180"/>
                <w:tab w:val="left" w:pos="1620"/>
              </w:tabs>
              <w:jc w:val="left"/>
              <w:rPr>
                <w:rFonts w:ascii="宋体" w:hAnsi="宋体"/>
                <w:b/>
                <w:sz w:val="24"/>
                <w:szCs w:val="24"/>
              </w:rPr>
            </w:pPr>
            <w:r>
              <w:rPr>
                <w:rFonts w:hint="eastAsia" w:ascii="宋体" w:hAnsi="宋体" w:cs="宋体"/>
                <w:sz w:val="24"/>
                <w:lang w:val="hr-HR"/>
              </w:rPr>
              <w:t>公有云计算服务技术要求</w:t>
            </w:r>
          </w:p>
        </w:tc>
        <w:tc>
          <w:tcPr>
            <w:tcW w:w="7129" w:type="dxa"/>
          </w:tcPr>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支持在不中断业务的情况下实现云主机的vCPU和内存动态升级。</w:t>
            </w:r>
          </w:p>
          <w:p>
            <w:pPr>
              <w:widowControl/>
              <w:numPr>
                <w:ilvl w:val="0"/>
                <w:numId w:val="7"/>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虚机vCPU绑定到特定的物理CPU，同时隔离hypervisor系统服务使用的CPU，让vCPU独享物理CPU（提供功能截图证明）。</w:t>
            </w:r>
          </w:p>
          <w:p>
            <w:pPr>
              <w:widowControl/>
              <w:numPr>
                <w:ilvl w:val="0"/>
                <w:numId w:val="7"/>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支持主机聚合功能，支持在区域内将某类有相同硬件特征的宿主机划成一个聚合，创建云主机时可以选定该主机聚合，实现特定应用目的。（提供功能截图证明）。</w:t>
            </w:r>
          </w:p>
          <w:p>
            <w:pPr>
              <w:widowControl/>
              <w:numPr>
                <w:ilvl w:val="0"/>
                <w:numId w:val="7"/>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支持对物理云服务器进行管理，兼具物理机的性能和云主机的易管理能力。</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支持HA（HOST, VM）故障恢复：开启HA的主机或者VM出现故障时，可自动恢复HOST上VM或者指定VM的运行。</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支持USB映射，即VM可动态挂载USB设备。</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支持云主机系统盘、数据盘自动快照备份，至少保留6份快照。</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支持云主机性能监控，对云主机各项资源使用情况包括网络速率、CPU、内存、磁盘使用率等，并提供自定义告警规则设置，告警方式必须包含邮件和短信。</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支持主流的操作系统：Windows server2003/2008/2012/2016，Redhat/Centos 6/7，Ubuntu等操作系统。</w:t>
            </w:r>
          </w:p>
          <w:p>
            <w:pPr>
              <w:widowControl/>
              <w:numPr>
                <w:ilvl w:val="0"/>
                <w:numId w:val="7"/>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支持自定义镜像，实现对安装了特定程序或进行了特定配置的云主机进行镜像保留。</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支持SSH密钥，创建和管理用户的密钥对。</w:t>
            </w:r>
          </w:p>
          <w:p>
            <w:pPr>
              <w:widowControl/>
              <w:numPr>
                <w:ilvl w:val="0"/>
                <w:numId w:val="7"/>
              </w:numPr>
              <w:jc w:val="left"/>
              <w:rPr>
                <w:rFonts w:ascii="宋体" w:hAnsi="宋体" w:cs="宋体"/>
                <w:bCs/>
                <w:kern w:val="0"/>
                <w:sz w:val="24"/>
                <w:szCs w:val="24"/>
              </w:rPr>
            </w:pPr>
            <w:r>
              <w:rPr>
                <w:rFonts w:hint="eastAsia" w:ascii="宋体" w:hAnsi="宋体" w:cs="宋体"/>
                <w:bCs/>
                <w:kern w:val="0"/>
                <w:sz w:val="24"/>
                <w:szCs w:val="24"/>
              </w:rPr>
              <w:t>云主机不低于99.95%的服务可用性，不低于99.99999%的数据可靠性。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宋体" w:hAnsi="宋体" w:cs="宋体"/>
                <w:bCs/>
                <w:sz w:val="24"/>
                <w:szCs w:val="24"/>
              </w:rPr>
              <w:t>3</w:t>
            </w:r>
          </w:p>
        </w:tc>
        <w:tc>
          <w:tcPr>
            <w:tcW w:w="1181" w:type="dxa"/>
          </w:tcPr>
          <w:p>
            <w:pPr>
              <w:tabs>
                <w:tab w:val="left" w:pos="180"/>
                <w:tab w:val="left" w:pos="1620"/>
              </w:tabs>
              <w:jc w:val="left"/>
              <w:rPr>
                <w:rFonts w:ascii="宋体" w:hAnsi="宋体" w:cs="宋体"/>
                <w:sz w:val="24"/>
                <w:lang w:val="hr-HR"/>
              </w:rPr>
            </w:pPr>
            <w:r>
              <w:rPr>
                <w:rFonts w:hint="eastAsia" w:ascii="宋体" w:hAnsi="宋体" w:cs="宋体"/>
                <w:sz w:val="24"/>
                <w:lang w:val="hr-HR"/>
              </w:rPr>
              <w:t>公有云存储服务技术要求</w:t>
            </w:r>
          </w:p>
          <w:p>
            <w:pPr>
              <w:tabs>
                <w:tab w:val="left" w:pos="180"/>
                <w:tab w:val="left" w:pos="1620"/>
              </w:tabs>
              <w:jc w:val="left"/>
              <w:rPr>
                <w:rFonts w:ascii="宋体" w:hAnsi="宋体"/>
                <w:b/>
                <w:sz w:val="24"/>
                <w:szCs w:val="24"/>
                <w:lang w:val="hr-HR"/>
              </w:rPr>
            </w:pPr>
          </w:p>
        </w:tc>
        <w:tc>
          <w:tcPr>
            <w:tcW w:w="7129" w:type="dxa"/>
          </w:tcPr>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支持云硬盘秒级快照，支持对云硬盘当前状态的增量做备份，只保存相对于上一个备份点的变化量。</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支持云硬盘复制，现有的云硬盘数据内容完全一致的备份云硬盘。</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支持卷管理操作，并支持在线扩容。</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支持普通云硬盘，Ceph容量盘，容量型，存储介质为机械磁盘。</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支持高性能云硬盘，Ceph高性能盘，性能容量平衡型，存储介质为机械磁盘+固态磁盘（SSD）。</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支持SSD云硬盘，Ceph高性能盘，性能型，存储介质为固态硬盘（SSD）。</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支持云硬盘扩容。</w:t>
            </w:r>
          </w:p>
          <w:p>
            <w:pPr>
              <w:widowControl/>
              <w:numPr>
                <w:ilvl w:val="0"/>
                <w:numId w:val="8"/>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支持云硬盘型号变更，支持普通云硬盘和高性能云硬盘的互转。</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支持通过管理平台创建块存储的操作，并将磁盘解挂、挂载到不同云主机上，并保证数据的一致性。</w:t>
            </w:r>
          </w:p>
          <w:p>
            <w:pPr>
              <w:widowControl/>
              <w:numPr>
                <w:ilvl w:val="0"/>
                <w:numId w:val="8"/>
              </w:numPr>
              <w:jc w:val="left"/>
              <w:rPr>
                <w:rFonts w:ascii="宋体" w:hAnsi="宋体" w:cs="宋体"/>
                <w:bCs/>
                <w:kern w:val="0"/>
                <w:sz w:val="24"/>
                <w:szCs w:val="24"/>
              </w:rPr>
            </w:pPr>
            <w:r>
              <w:rPr>
                <w:rFonts w:hint="eastAsia" w:ascii="宋体" w:hAnsi="宋体" w:cs="宋体"/>
                <w:bCs/>
                <w:kern w:val="0"/>
                <w:sz w:val="24"/>
                <w:szCs w:val="24"/>
              </w:rPr>
              <w:t>在用户提出数据迁移需求时，能够提供块存储上存储数据的迁入和迁出的服务。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仿宋_GB2312" w:hAnsi="仿宋" w:eastAsia="仿宋_GB2312"/>
                <w:b/>
                <w:sz w:val="24"/>
                <w:szCs w:val="24"/>
              </w:rPr>
              <w:t>4</w:t>
            </w:r>
          </w:p>
        </w:tc>
        <w:tc>
          <w:tcPr>
            <w:tcW w:w="1181" w:type="dxa"/>
          </w:tcPr>
          <w:p>
            <w:pPr>
              <w:tabs>
                <w:tab w:val="left" w:pos="180"/>
                <w:tab w:val="left" w:pos="1620"/>
              </w:tabs>
              <w:jc w:val="left"/>
              <w:rPr>
                <w:rFonts w:ascii="宋体" w:hAnsi="宋体" w:cs="宋体"/>
                <w:sz w:val="24"/>
                <w:lang w:val="hr-HR"/>
              </w:rPr>
            </w:pPr>
            <w:r>
              <w:rPr>
                <w:rFonts w:hint="eastAsia" w:ascii="宋体" w:hAnsi="宋体" w:cs="宋体"/>
                <w:sz w:val="24"/>
                <w:lang w:val="hr-HR"/>
              </w:rPr>
              <w:t>公有云对象存储服务技术要求</w:t>
            </w:r>
          </w:p>
          <w:p>
            <w:pPr>
              <w:tabs>
                <w:tab w:val="left" w:pos="180"/>
                <w:tab w:val="left" w:pos="1620"/>
              </w:tabs>
              <w:jc w:val="left"/>
              <w:rPr>
                <w:rFonts w:ascii="宋体" w:hAnsi="宋体"/>
                <w:b/>
                <w:sz w:val="24"/>
                <w:szCs w:val="24"/>
                <w:lang w:val="hr-HR"/>
              </w:rPr>
            </w:pPr>
          </w:p>
        </w:tc>
        <w:tc>
          <w:tcPr>
            <w:tcW w:w="7129" w:type="dxa"/>
          </w:tcPr>
          <w:p>
            <w:pPr>
              <w:widowControl/>
              <w:numPr>
                <w:ilvl w:val="0"/>
                <w:numId w:val="9"/>
              </w:numPr>
              <w:jc w:val="left"/>
              <w:rPr>
                <w:rFonts w:ascii="宋体" w:hAnsi="宋体" w:cs="宋体"/>
                <w:bCs/>
                <w:kern w:val="0"/>
                <w:sz w:val="24"/>
                <w:szCs w:val="24"/>
              </w:rPr>
            </w:pPr>
            <w:r>
              <w:rPr>
                <w:rFonts w:hint="eastAsia" w:ascii="宋体" w:hAnsi="宋体" w:cs="宋体"/>
                <w:bCs/>
                <w:kern w:val="0"/>
                <w:sz w:val="24"/>
                <w:szCs w:val="24"/>
              </w:rPr>
              <w:t>支持Amazon</w:t>
            </w:r>
            <w:r>
              <w:rPr>
                <w:rFonts w:ascii="宋体" w:hAnsi="宋体" w:cs="宋体"/>
                <w:bCs/>
                <w:kern w:val="0"/>
                <w:sz w:val="24"/>
                <w:szCs w:val="24"/>
              </w:rPr>
              <w:t xml:space="preserve"> </w:t>
            </w:r>
            <w:r>
              <w:rPr>
                <w:rFonts w:hint="eastAsia" w:ascii="宋体" w:hAnsi="宋体" w:cs="宋体"/>
                <w:bCs/>
                <w:kern w:val="0"/>
                <w:sz w:val="24"/>
                <w:szCs w:val="24"/>
              </w:rPr>
              <w:t>S3标准接口，兼容S3生态体系。</w:t>
            </w:r>
          </w:p>
          <w:p>
            <w:pPr>
              <w:widowControl/>
              <w:numPr>
                <w:ilvl w:val="0"/>
                <w:numId w:val="9"/>
              </w:numPr>
              <w:jc w:val="left"/>
              <w:rPr>
                <w:rFonts w:ascii="宋体" w:hAnsi="宋体" w:cs="宋体"/>
                <w:bCs/>
                <w:kern w:val="0"/>
                <w:sz w:val="24"/>
                <w:szCs w:val="24"/>
              </w:rPr>
            </w:pPr>
            <w:r>
              <w:rPr>
                <w:rFonts w:hint="eastAsia" w:ascii="宋体" w:hAnsi="宋体" w:cs="宋体"/>
                <w:bCs/>
                <w:kern w:val="0"/>
                <w:sz w:val="24"/>
                <w:szCs w:val="24"/>
              </w:rPr>
              <w:t>支持存储桶的访问权限控制。</w:t>
            </w:r>
          </w:p>
          <w:p>
            <w:pPr>
              <w:widowControl/>
              <w:numPr>
                <w:ilvl w:val="0"/>
                <w:numId w:val="9"/>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通过NFS提供文件系统功能接口，解决通过文件协议和对象存储协议互操作功能。支持通过对象存储协议写入的数据可以通过NFS文件协议实现多客户端数据共享的需求，同时满足通过NFS文件协议写入，通过对象存储协议访问的需求。</w:t>
            </w:r>
          </w:p>
          <w:p>
            <w:pPr>
              <w:widowControl/>
              <w:numPr>
                <w:ilvl w:val="0"/>
                <w:numId w:val="9"/>
              </w:numPr>
              <w:jc w:val="left"/>
              <w:rPr>
                <w:rFonts w:ascii="宋体" w:hAnsi="宋体" w:cs="宋体"/>
                <w:bCs/>
                <w:kern w:val="0"/>
                <w:sz w:val="24"/>
                <w:szCs w:val="24"/>
              </w:rPr>
            </w:pPr>
            <w:r>
              <w:rPr>
                <w:rFonts w:hint="eastAsia" w:ascii="宋体" w:hAnsi="宋体" w:cs="宋体"/>
                <w:bCs/>
                <w:kern w:val="0"/>
                <w:sz w:val="24"/>
                <w:szCs w:val="24"/>
              </w:rPr>
              <w:t>支持SSL加密访问，并提供认证加密功能。</w:t>
            </w:r>
          </w:p>
          <w:p>
            <w:pPr>
              <w:widowControl/>
              <w:numPr>
                <w:ilvl w:val="0"/>
                <w:numId w:val="9"/>
              </w:numPr>
              <w:jc w:val="left"/>
              <w:rPr>
                <w:rFonts w:ascii="宋体" w:hAnsi="宋体" w:cs="宋体"/>
                <w:bCs/>
                <w:kern w:val="0"/>
                <w:sz w:val="24"/>
                <w:szCs w:val="24"/>
              </w:rPr>
            </w:pPr>
            <w:r>
              <w:rPr>
                <w:rFonts w:hint="eastAsia" w:ascii="宋体" w:hAnsi="宋体" w:cs="宋体"/>
                <w:bCs/>
                <w:kern w:val="0"/>
                <w:sz w:val="24"/>
                <w:szCs w:val="24"/>
              </w:rPr>
              <w:t>支持在客户端和服务器端之间建立加密通道。</w:t>
            </w:r>
          </w:p>
          <w:p>
            <w:pPr>
              <w:widowControl/>
              <w:numPr>
                <w:ilvl w:val="0"/>
                <w:numId w:val="9"/>
              </w:numPr>
              <w:jc w:val="left"/>
              <w:rPr>
                <w:rFonts w:ascii="宋体" w:hAnsi="宋体" w:cs="宋体"/>
                <w:bCs/>
                <w:kern w:val="0"/>
                <w:sz w:val="24"/>
                <w:szCs w:val="24"/>
              </w:rPr>
            </w:pPr>
            <w:r>
              <w:rPr>
                <w:rFonts w:hint="eastAsia" w:ascii="宋体" w:hAnsi="宋体"/>
                <w:sz w:val="24"/>
                <w:szCs w:val="24"/>
              </w:rPr>
              <w:t xml:space="preserve">▲ </w:t>
            </w:r>
            <w:r>
              <w:rPr>
                <w:rFonts w:hint="eastAsia" w:ascii="宋体" w:hAnsi="宋体" w:cs="宋体"/>
                <w:bCs/>
                <w:kern w:val="0"/>
                <w:sz w:val="24"/>
                <w:szCs w:val="24"/>
              </w:rPr>
              <w:t>支持视频转存功能。</w:t>
            </w:r>
          </w:p>
          <w:p>
            <w:pPr>
              <w:widowControl/>
              <w:numPr>
                <w:ilvl w:val="0"/>
                <w:numId w:val="9"/>
              </w:numPr>
              <w:jc w:val="left"/>
              <w:rPr>
                <w:rFonts w:ascii="宋体" w:hAnsi="宋体" w:cs="宋体"/>
                <w:bCs/>
                <w:kern w:val="0"/>
                <w:sz w:val="24"/>
                <w:szCs w:val="24"/>
              </w:rPr>
            </w:pPr>
            <w:r>
              <w:rPr>
                <w:rFonts w:hint="eastAsia" w:ascii="宋体" w:hAnsi="宋体" w:cs="宋体"/>
                <w:bCs/>
                <w:kern w:val="0"/>
                <w:sz w:val="24"/>
                <w:szCs w:val="24"/>
              </w:rPr>
              <w:t>支持多地域部署和管理。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仿宋_GB2312" w:hAnsi="仿宋" w:eastAsia="仿宋_GB2312"/>
                <w:b/>
                <w:sz w:val="24"/>
                <w:szCs w:val="24"/>
              </w:rPr>
              <w:t>5</w:t>
            </w:r>
          </w:p>
        </w:tc>
        <w:tc>
          <w:tcPr>
            <w:tcW w:w="1181" w:type="dxa"/>
          </w:tcPr>
          <w:p>
            <w:pPr>
              <w:tabs>
                <w:tab w:val="left" w:pos="180"/>
                <w:tab w:val="left" w:pos="1620"/>
              </w:tabs>
              <w:jc w:val="left"/>
              <w:rPr>
                <w:rFonts w:ascii="宋体" w:hAnsi="宋体" w:cs="宋体"/>
                <w:sz w:val="24"/>
                <w:lang w:val="hr-HR"/>
              </w:rPr>
            </w:pPr>
            <w:r>
              <w:rPr>
                <w:rFonts w:hint="eastAsia" w:ascii="宋体" w:hAnsi="宋体" w:cs="宋体"/>
                <w:sz w:val="24"/>
                <w:lang w:val="hr-HR"/>
              </w:rPr>
              <w:t>公有云虚拟网络服务技术要求</w:t>
            </w:r>
          </w:p>
          <w:p>
            <w:pPr>
              <w:tabs>
                <w:tab w:val="left" w:pos="180"/>
                <w:tab w:val="left" w:pos="1620"/>
              </w:tabs>
              <w:jc w:val="left"/>
              <w:rPr>
                <w:rFonts w:ascii="宋体" w:hAnsi="宋体"/>
                <w:b/>
                <w:sz w:val="24"/>
                <w:szCs w:val="24"/>
                <w:lang w:val="hr-HR"/>
              </w:rPr>
            </w:pPr>
          </w:p>
        </w:tc>
        <w:tc>
          <w:tcPr>
            <w:tcW w:w="7129" w:type="dxa"/>
          </w:tcPr>
          <w:p>
            <w:pPr>
              <w:widowControl/>
              <w:numPr>
                <w:ilvl w:val="0"/>
                <w:numId w:val="10"/>
              </w:numPr>
              <w:jc w:val="left"/>
              <w:rPr>
                <w:rFonts w:ascii="宋体" w:hAnsi="宋体" w:cs="宋体"/>
                <w:bCs/>
                <w:kern w:val="0"/>
                <w:sz w:val="24"/>
                <w:szCs w:val="24"/>
                <w:lang w:val="hr-HR"/>
              </w:rPr>
            </w:pPr>
            <w:r>
              <w:rPr>
                <w:rFonts w:hint="eastAsia" w:ascii="宋体" w:hAnsi="宋体"/>
                <w:sz w:val="24"/>
                <w:szCs w:val="24"/>
              </w:rPr>
              <w:t xml:space="preserve">▲ </w:t>
            </w:r>
            <w:r>
              <w:rPr>
                <w:rFonts w:hint="eastAsia" w:ascii="宋体" w:hAnsi="宋体" w:cs="宋体"/>
                <w:bCs/>
                <w:kern w:val="0"/>
                <w:sz w:val="24"/>
                <w:szCs w:val="24"/>
                <w:lang w:val="hr-HR"/>
              </w:rPr>
              <w:t>支持浮动IP，可自行创建并分配至指定资源对象（如路由器、负载均衡、云服务器）。</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支持OpenVPN、PPTP-VPN、IPSec-VPN、GRE，可适用于各种网络环境，保证网络传输安全</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支持虚拟防火墙，并能灵活定义上下行规则。</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支持端口转发。</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支持分布式虚拟路由器。</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支持私有网络，实现虚拟交换机管理。多个私有网络可通过虚拟路由器连接实现互访。</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支持4层和7层负载均衡服务，支持http、https、tcp监听策略，支持包含轮询、源IP、最小连接数转发规则，支持对后端云主机进行相应协议的健康检查。</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提供负载均衡器关键性能数据监控，支持自定义告警规则，告警方式必须包含邮件和短信。</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负载均衡器提供集中证书管理，支持带私钥的证书。</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支持跨数据中心建立高速专线。</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支持网络QoS，支持对浮动IP、路由器外网以及负载均衡器外网设置限速。</w:t>
            </w:r>
          </w:p>
          <w:p>
            <w:pPr>
              <w:widowControl/>
              <w:numPr>
                <w:ilvl w:val="0"/>
                <w:numId w:val="10"/>
              </w:numPr>
              <w:jc w:val="left"/>
              <w:rPr>
                <w:rFonts w:ascii="宋体" w:hAnsi="宋体" w:cs="宋体"/>
                <w:bCs/>
                <w:kern w:val="0"/>
                <w:sz w:val="24"/>
                <w:szCs w:val="24"/>
                <w:lang w:val="hr-HR"/>
              </w:rPr>
            </w:pPr>
            <w:r>
              <w:rPr>
                <w:rFonts w:hint="eastAsia" w:ascii="宋体" w:hAnsi="宋体"/>
                <w:sz w:val="24"/>
                <w:szCs w:val="24"/>
              </w:rPr>
              <w:t xml:space="preserve">▲ </w:t>
            </w:r>
            <w:r>
              <w:rPr>
                <w:rFonts w:hint="eastAsia" w:ascii="宋体" w:hAnsi="宋体" w:cs="宋体"/>
                <w:bCs/>
                <w:kern w:val="0"/>
                <w:sz w:val="24"/>
                <w:szCs w:val="24"/>
                <w:lang w:val="hr-HR"/>
              </w:rPr>
              <w:t>支持共享带宽，支持多IP共享一个网络Qos。</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带宽支持按流量计费模式。</w:t>
            </w:r>
          </w:p>
          <w:p>
            <w:pPr>
              <w:widowControl/>
              <w:numPr>
                <w:ilvl w:val="0"/>
                <w:numId w:val="10"/>
              </w:numPr>
              <w:jc w:val="left"/>
              <w:rPr>
                <w:rFonts w:ascii="宋体" w:hAnsi="宋体" w:cs="宋体"/>
                <w:bCs/>
                <w:kern w:val="0"/>
                <w:sz w:val="24"/>
                <w:szCs w:val="24"/>
                <w:lang w:val="hr-HR"/>
              </w:rPr>
            </w:pPr>
            <w:r>
              <w:rPr>
                <w:rFonts w:hint="eastAsia" w:ascii="宋体" w:hAnsi="宋体" w:cs="宋体"/>
                <w:bCs/>
                <w:kern w:val="0"/>
                <w:sz w:val="24"/>
                <w:szCs w:val="24"/>
                <w:lang w:val="hr-HR"/>
              </w:rPr>
              <w:t>需提供BGP线路，至少涵盖联通、电信、移动的线路。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仿宋_GB2312" w:hAnsi="仿宋" w:eastAsia="仿宋_GB2312"/>
                <w:b/>
                <w:sz w:val="24"/>
                <w:szCs w:val="24"/>
              </w:rPr>
              <w:t>6</w:t>
            </w:r>
          </w:p>
        </w:tc>
        <w:tc>
          <w:tcPr>
            <w:tcW w:w="1181" w:type="dxa"/>
          </w:tcPr>
          <w:p>
            <w:pPr>
              <w:tabs>
                <w:tab w:val="left" w:pos="180"/>
                <w:tab w:val="left" w:pos="1620"/>
              </w:tabs>
              <w:jc w:val="left"/>
              <w:rPr>
                <w:rFonts w:ascii="宋体" w:hAnsi="宋体" w:cs="宋体"/>
                <w:sz w:val="24"/>
                <w:lang w:val="hr-HR"/>
              </w:rPr>
            </w:pPr>
            <w:r>
              <w:rPr>
                <w:rFonts w:hint="eastAsia" w:ascii="宋体" w:hAnsi="宋体" w:cs="宋体"/>
                <w:sz w:val="24"/>
                <w:lang w:val="hr-HR"/>
              </w:rPr>
              <w:t>公有云管理要求</w:t>
            </w:r>
          </w:p>
          <w:p>
            <w:pPr>
              <w:tabs>
                <w:tab w:val="left" w:pos="180"/>
                <w:tab w:val="left" w:pos="1620"/>
              </w:tabs>
              <w:jc w:val="left"/>
              <w:rPr>
                <w:rFonts w:ascii="宋体" w:hAnsi="宋体"/>
                <w:b/>
                <w:sz w:val="24"/>
                <w:szCs w:val="24"/>
                <w:lang w:val="hr-HR"/>
              </w:rPr>
            </w:pPr>
          </w:p>
        </w:tc>
        <w:tc>
          <w:tcPr>
            <w:tcW w:w="7129" w:type="dxa"/>
          </w:tcPr>
          <w:p>
            <w:pPr>
              <w:widowControl/>
              <w:numPr>
                <w:ilvl w:val="0"/>
                <w:numId w:val="11"/>
              </w:numPr>
              <w:jc w:val="left"/>
              <w:rPr>
                <w:rFonts w:ascii="宋体" w:hAnsi="宋体" w:cs="宋体"/>
                <w:bCs/>
                <w:kern w:val="0"/>
                <w:sz w:val="24"/>
                <w:szCs w:val="24"/>
                <w:lang w:val="hr-HR"/>
              </w:rPr>
            </w:pPr>
            <w:r>
              <w:rPr>
                <w:rFonts w:hint="eastAsia" w:ascii="宋体" w:hAnsi="宋体" w:cs="宋体"/>
                <w:bCs/>
                <w:kern w:val="0"/>
                <w:sz w:val="24"/>
                <w:szCs w:val="24"/>
                <w:lang w:val="hr-HR"/>
              </w:rPr>
              <w:t>提供统一的图形界面管理平台，可实现云平台日常运维管理工作，包括资源预览、集群管理、网络管理、项目管理等工作。</w:t>
            </w:r>
          </w:p>
          <w:p>
            <w:pPr>
              <w:widowControl/>
              <w:numPr>
                <w:ilvl w:val="0"/>
                <w:numId w:val="11"/>
              </w:numPr>
              <w:jc w:val="left"/>
              <w:rPr>
                <w:rFonts w:ascii="宋体" w:hAnsi="宋体" w:cs="宋体"/>
                <w:bCs/>
                <w:kern w:val="0"/>
                <w:sz w:val="24"/>
                <w:szCs w:val="24"/>
                <w:lang w:val="hr-HR"/>
              </w:rPr>
            </w:pPr>
            <w:r>
              <w:rPr>
                <w:rFonts w:hint="eastAsia" w:ascii="宋体" w:hAnsi="宋体"/>
                <w:sz w:val="24"/>
                <w:szCs w:val="24"/>
              </w:rPr>
              <w:t xml:space="preserve">▲ </w:t>
            </w:r>
            <w:r>
              <w:rPr>
                <w:rFonts w:hint="eastAsia" w:ascii="宋体" w:hAnsi="宋体" w:cs="宋体"/>
                <w:bCs/>
                <w:kern w:val="0"/>
                <w:sz w:val="24"/>
                <w:szCs w:val="24"/>
                <w:lang w:val="hr-HR"/>
              </w:rPr>
              <w:t>支持子账号，允许在一个账户下创建多个子用户，为子账号独立分配资源访问权限。</w:t>
            </w:r>
          </w:p>
          <w:p>
            <w:pPr>
              <w:widowControl/>
              <w:numPr>
                <w:ilvl w:val="0"/>
                <w:numId w:val="11"/>
              </w:numPr>
              <w:jc w:val="left"/>
              <w:rPr>
                <w:rFonts w:ascii="宋体" w:hAnsi="宋体" w:cs="宋体"/>
                <w:bCs/>
                <w:kern w:val="0"/>
                <w:sz w:val="24"/>
                <w:szCs w:val="24"/>
                <w:lang w:val="hr-HR"/>
              </w:rPr>
            </w:pPr>
            <w:r>
              <w:rPr>
                <w:rFonts w:hint="eastAsia" w:ascii="宋体" w:hAnsi="宋体" w:cs="宋体"/>
                <w:bCs/>
                <w:kern w:val="0"/>
                <w:sz w:val="24"/>
                <w:szCs w:val="24"/>
                <w:lang w:val="hr-HR"/>
              </w:rPr>
              <w:t>支持回收站管理，防止误删除导致的问题。</w:t>
            </w:r>
          </w:p>
          <w:p>
            <w:pPr>
              <w:widowControl/>
              <w:numPr>
                <w:ilvl w:val="0"/>
                <w:numId w:val="11"/>
              </w:numPr>
              <w:jc w:val="left"/>
              <w:rPr>
                <w:rFonts w:ascii="宋体" w:hAnsi="宋体" w:cs="宋体"/>
                <w:bCs/>
                <w:kern w:val="0"/>
                <w:sz w:val="24"/>
                <w:szCs w:val="24"/>
                <w:lang w:val="hr-HR"/>
              </w:rPr>
            </w:pPr>
            <w:r>
              <w:rPr>
                <w:rFonts w:hint="eastAsia" w:ascii="宋体" w:hAnsi="宋体" w:cs="宋体"/>
                <w:bCs/>
                <w:kern w:val="0"/>
                <w:sz w:val="24"/>
                <w:szCs w:val="24"/>
                <w:lang w:val="hr-HR"/>
              </w:rPr>
              <w:t>支持对平台各种资源提供包年包月和按量两种计费方式。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tabs>
                <w:tab w:val="left" w:pos="180"/>
                <w:tab w:val="left" w:pos="1620"/>
              </w:tabs>
              <w:spacing w:line="360" w:lineRule="auto"/>
              <w:jc w:val="center"/>
              <w:rPr>
                <w:rFonts w:ascii="仿宋_GB2312" w:hAnsi="仿宋" w:eastAsia="仿宋_GB2312"/>
                <w:b/>
                <w:sz w:val="24"/>
                <w:szCs w:val="24"/>
              </w:rPr>
            </w:pPr>
            <w:r>
              <w:rPr>
                <w:rFonts w:hint="eastAsia" w:ascii="仿宋_GB2312" w:hAnsi="仿宋" w:eastAsia="仿宋_GB2312"/>
                <w:b/>
                <w:sz w:val="24"/>
                <w:szCs w:val="24"/>
              </w:rPr>
              <w:t>7</w:t>
            </w:r>
          </w:p>
        </w:tc>
        <w:tc>
          <w:tcPr>
            <w:tcW w:w="1181" w:type="dxa"/>
          </w:tcPr>
          <w:p>
            <w:pPr>
              <w:tabs>
                <w:tab w:val="left" w:pos="180"/>
                <w:tab w:val="left" w:pos="1620"/>
              </w:tabs>
              <w:jc w:val="left"/>
              <w:rPr>
                <w:rFonts w:ascii="宋体" w:hAnsi="宋体" w:cs="宋体"/>
                <w:sz w:val="24"/>
                <w:lang w:val="hr-HR"/>
              </w:rPr>
            </w:pPr>
            <w:r>
              <w:rPr>
                <w:rFonts w:hint="eastAsia" w:ascii="宋体" w:hAnsi="宋体" w:cs="宋体"/>
                <w:sz w:val="24"/>
                <w:lang w:val="hr-HR"/>
              </w:rPr>
              <w:t>公有云安全技术要求</w:t>
            </w:r>
          </w:p>
          <w:p>
            <w:pPr>
              <w:tabs>
                <w:tab w:val="left" w:pos="180"/>
                <w:tab w:val="left" w:pos="1620"/>
              </w:tabs>
              <w:jc w:val="left"/>
              <w:rPr>
                <w:rFonts w:ascii="宋体" w:hAnsi="宋体"/>
                <w:b/>
                <w:sz w:val="24"/>
                <w:szCs w:val="24"/>
                <w:lang w:val="hr-HR"/>
              </w:rPr>
            </w:pPr>
          </w:p>
        </w:tc>
        <w:tc>
          <w:tcPr>
            <w:tcW w:w="7129" w:type="dxa"/>
          </w:tcPr>
          <w:p>
            <w:pPr>
              <w:widowControl/>
              <w:numPr>
                <w:ilvl w:val="0"/>
                <w:numId w:val="12"/>
              </w:numPr>
              <w:jc w:val="left"/>
              <w:rPr>
                <w:rFonts w:ascii="宋体" w:hAnsi="宋体" w:cs="宋体"/>
                <w:bCs/>
                <w:kern w:val="0"/>
                <w:sz w:val="24"/>
                <w:szCs w:val="24"/>
                <w:lang w:val="hr-HR"/>
              </w:rPr>
            </w:pPr>
            <w:r>
              <w:rPr>
                <w:rFonts w:hint="eastAsia" w:ascii="宋体" w:hAnsi="宋体"/>
                <w:sz w:val="24"/>
                <w:szCs w:val="24"/>
              </w:rPr>
              <w:t>▲提供态势感知产品，</w:t>
            </w:r>
            <w:r>
              <w:rPr>
                <w:rFonts w:hint="eastAsia" w:ascii="宋体" w:hAnsi="宋体" w:cs="宋体"/>
                <w:bCs/>
                <w:kern w:val="0"/>
                <w:sz w:val="24"/>
                <w:szCs w:val="24"/>
                <w:lang w:val="hr-HR"/>
              </w:rPr>
              <w:t>支持Web攻击行为分析不少于10种，支持端口扫描行为不少于3种，支持暴力破解行为分析。</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机房提供基础抗DDoS攻击服务，在超过攻击阈值时可提供相应高防产品进行防护。</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提供WEB应用防火墙产品，可防止SQL注入、XSS攻击、安全绕过、目录遍历、命令执行、请求访问、漏洞扫描、http协议防护、cookie防护、防错误信息泄露、盗链防护、CSRF防护。</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提供网站漏洞扫描产品，支持基础漏洞扫描、弱口令扫描、安全漏洞扫描、漏洞自动化巡检及基线检测，包括常见的web漏洞类型、最新高危CVE漏洞、常见CMS漏洞、以及运维安全漏洞，弱口令支持MySQL,SSH,FTP,SQLServer等常见服务的弱口令扫描。通过漏洞扫描对网络系统中多个方面的安全脆弱性统一进行分析和风险评估，给出总体安全状态评价，全面掌握信息系统安全风险。</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支持进行僵尸网络、恶意挖矿、恶意后门等主机异常行为分析检测。</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可支持对失陷主机进行自定义周期阻断，根据风险等级智能阻断。</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支持对主机的合规情况进行分析与检测，例如未备案、违规外连(Shadowsocks、非法VPN、境外非法网站等)以及内部内容安全(黄赌毒等)的分析。</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支持基于流量分析发现资产及资产安全状况，包括IP、域名、端口、服务。</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提供堡垒机服务，基于协议正向代理实现，对SSH、Windows远程桌面、SFTP等常见运维协议的 数据流进行全程记录，再通过协议数据流重组的方式进行录像回放，达到运维审计的目的。</w:t>
            </w:r>
          </w:p>
          <w:p>
            <w:pPr>
              <w:widowControl/>
              <w:numPr>
                <w:ilvl w:val="0"/>
                <w:numId w:val="12"/>
              </w:numPr>
              <w:jc w:val="left"/>
              <w:rPr>
                <w:rFonts w:ascii="宋体" w:hAnsi="宋体" w:cs="宋体"/>
                <w:bCs/>
                <w:kern w:val="0"/>
                <w:sz w:val="24"/>
                <w:szCs w:val="24"/>
                <w:lang w:val="hr-HR"/>
              </w:rPr>
            </w:pPr>
            <w:r>
              <w:rPr>
                <w:rFonts w:hint="eastAsia" w:ascii="宋体" w:hAnsi="宋体" w:cs="宋体"/>
                <w:bCs/>
                <w:kern w:val="0"/>
                <w:sz w:val="24"/>
                <w:szCs w:val="24"/>
                <w:lang w:val="hr-HR"/>
              </w:rPr>
              <w:t>提供SSL证书，实现网站HTTPS化，使网站可信，防劫持、防篡改、防监听。</w:t>
            </w:r>
          </w:p>
        </w:tc>
      </w:tr>
    </w:tbl>
    <w:p>
      <w:pPr>
        <w:spacing w:line="360" w:lineRule="auto"/>
        <w:rPr>
          <w:b/>
          <w:sz w:val="28"/>
          <w:szCs w:val="28"/>
        </w:rPr>
      </w:pPr>
    </w:p>
    <w:p>
      <w:pPr>
        <w:numPr>
          <w:ilvl w:val="0"/>
          <w:numId w:val="5"/>
        </w:numPr>
        <w:spacing w:line="360" w:lineRule="auto"/>
        <w:rPr>
          <w:rFonts w:ascii="宋体" w:hAnsi="宋体"/>
          <w:b/>
          <w:sz w:val="28"/>
          <w:szCs w:val="28"/>
        </w:rPr>
      </w:pPr>
      <w:r>
        <w:rPr>
          <w:rFonts w:hint="eastAsia" w:ascii="宋体" w:hAnsi="宋体"/>
          <w:b/>
          <w:sz w:val="28"/>
          <w:szCs w:val="28"/>
        </w:rPr>
        <w:t>基本要求:</w:t>
      </w:r>
    </w:p>
    <w:p>
      <w:pPr>
        <w:numPr>
          <w:ilvl w:val="0"/>
          <w:numId w:val="13"/>
        </w:numPr>
        <w:spacing w:line="360" w:lineRule="auto"/>
        <w:ind w:right="-20"/>
        <w:jc w:val="left"/>
        <w:rPr>
          <w:rFonts w:ascii="宋体" w:hAnsi="宋体"/>
          <w:sz w:val="24"/>
          <w:szCs w:val="24"/>
        </w:rPr>
      </w:pPr>
      <w:r>
        <w:rPr>
          <w:rFonts w:hint="eastAsia" w:ascii="宋体" w:hAnsi="宋体"/>
          <w:sz w:val="24"/>
          <w:szCs w:val="24"/>
        </w:rPr>
        <w:t>★ 所投公有云服务厂商需具有国家版权局颁发的《计算机软件著作权登记证书》，签订合同时提供证书复印件并加盖公有云服务厂商的公章。</w:t>
      </w:r>
    </w:p>
    <w:p>
      <w:pPr>
        <w:numPr>
          <w:ilvl w:val="0"/>
          <w:numId w:val="13"/>
        </w:numPr>
        <w:spacing w:line="360" w:lineRule="auto"/>
        <w:ind w:right="-20"/>
        <w:jc w:val="left"/>
        <w:rPr>
          <w:rFonts w:ascii="宋体" w:hAnsi="宋体"/>
          <w:sz w:val="24"/>
          <w:szCs w:val="24"/>
        </w:rPr>
      </w:pPr>
      <w:r>
        <w:rPr>
          <w:rFonts w:hint="eastAsia" w:ascii="宋体" w:hAnsi="宋体"/>
          <w:sz w:val="24"/>
          <w:szCs w:val="24"/>
        </w:rPr>
        <w:t>★ 所投公有云服务厂商需具备云计算服务能力标准二级证书，签订合同时提供证书复印件并加盖公有云服务厂商的公章。</w:t>
      </w:r>
    </w:p>
    <w:p>
      <w:pPr>
        <w:numPr>
          <w:ilvl w:val="0"/>
          <w:numId w:val="13"/>
        </w:numPr>
        <w:spacing w:line="360" w:lineRule="auto"/>
        <w:ind w:right="-20"/>
        <w:jc w:val="left"/>
        <w:rPr>
          <w:rFonts w:ascii="宋体" w:hAnsi="宋体"/>
          <w:sz w:val="24"/>
          <w:szCs w:val="24"/>
        </w:rPr>
      </w:pPr>
      <w:r>
        <w:rPr>
          <w:rFonts w:hint="eastAsia" w:ascii="宋体" w:hAnsi="宋体"/>
          <w:sz w:val="24"/>
          <w:szCs w:val="24"/>
        </w:rPr>
        <w:t>★所投公有云服务厂商具有增值电信业务经营许可证，签订合同时提供证书复印件并加盖公有云服务厂商的公章。</w:t>
      </w:r>
    </w:p>
    <w:p>
      <w:pPr>
        <w:spacing w:line="360" w:lineRule="auto"/>
        <w:ind w:right="-20"/>
        <w:jc w:val="left"/>
        <w:rPr>
          <w:rFonts w:ascii="宋体" w:hAnsi="宋体"/>
          <w:sz w:val="24"/>
          <w:szCs w:val="24"/>
        </w:rPr>
      </w:pPr>
    </w:p>
    <w:p>
      <w:pPr>
        <w:numPr>
          <w:ilvl w:val="0"/>
          <w:numId w:val="5"/>
        </w:numPr>
        <w:spacing w:line="360" w:lineRule="auto"/>
        <w:rPr>
          <w:rFonts w:ascii="宋体" w:hAnsi="宋体"/>
          <w:b/>
          <w:sz w:val="28"/>
          <w:szCs w:val="28"/>
        </w:rPr>
      </w:pPr>
      <w:r>
        <w:rPr>
          <w:rFonts w:hint="eastAsia" w:ascii="宋体" w:hAnsi="宋体"/>
          <w:b/>
          <w:sz w:val="28"/>
          <w:szCs w:val="28"/>
        </w:rPr>
        <w:t>其他要求</w:t>
      </w:r>
    </w:p>
    <w:p>
      <w:pPr>
        <w:numPr>
          <w:ilvl w:val="0"/>
          <w:numId w:val="14"/>
        </w:numPr>
        <w:spacing w:line="360" w:lineRule="auto"/>
        <w:ind w:right="-20"/>
        <w:jc w:val="left"/>
        <w:rPr>
          <w:rFonts w:ascii="宋体" w:hAnsi="宋体"/>
          <w:sz w:val="24"/>
          <w:szCs w:val="24"/>
        </w:rPr>
      </w:pPr>
      <w:r>
        <w:rPr>
          <w:rFonts w:hint="eastAsia" w:ascii="宋体" w:hAnsi="宋体"/>
          <w:sz w:val="24"/>
          <w:szCs w:val="24"/>
        </w:rPr>
        <w:t>对于影响公有云平台服务正常工作的必要组成部分，无论在技术规范中指出与否，投标人都应提供并在投标文件中明确列出。</w:t>
      </w:r>
    </w:p>
    <w:p>
      <w:pPr>
        <w:numPr>
          <w:ilvl w:val="0"/>
          <w:numId w:val="14"/>
        </w:numPr>
        <w:spacing w:line="360" w:lineRule="auto"/>
        <w:ind w:right="-20"/>
        <w:jc w:val="left"/>
        <w:rPr>
          <w:rFonts w:ascii="宋体" w:hAnsi="宋体"/>
          <w:sz w:val="24"/>
          <w:szCs w:val="24"/>
        </w:rPr>
      </w:pPr>
      <w:r>
        <w:rPr>
          <w:rFonts w:hint="eastAsia" w:ascii="宋体" w:hAnsi="宋体"/>
          <w:sz w:val="24"/>
          <w:szCs w:val="24"/>
        </w:rPr>
        <w:t>投标人投标时所提供的服务如在实际供应时已经下线，且未能按原价提供更优质的服务，则按违约处理。</w:t>
      </w:r>
    </w:p>
    <w:p>
      <w:pPr>
        <w:numPr>
          <w:ilvl w:val="0"/>
          <w:numId w:val="14"/>
        </w:numPr>
        <w:spacing w:line="360" w:lineRule="auto"/>
        <w:ind w:right="-20"/>
        <w:jc w:val="left"/>
        <w:rPr>
          <w:rFonts w:ascii="宋体" w:hAnsi="宋体"/>
          <w:sz w:val="24"/>
          <w:szCs w:val="24"/>
        </w:rPr>
      </w:pPr>
      <w:r>
        <w:rPr>
          <w:rFonts w:hint="eastAsia" w:ascii="宋体" w:hAnsi="宋体"/>
          <w:sz w:val="24"/>
          <w:szCs w:val="24"/>
        </w:rPr>
        <w:t>投标人在实际提供服务时，若被发现提供的服务未能达到招标文件和投标文件中的有关要求，将按有关法规进行处罚，买方将有权单方面中止合同的执行,并追究因中标方所提供的未达到所承诺准确率服务而产生的所有损失和责任。</w:t>
      </w:r>
    </w:p>
    <w:p>
      <w:pPr>
        <w:numPr>
          <w:ilvl w:val="0"/>
          <w:numId w:val="14"/>
        </w:numPr>
        <w:spacing w:line="360" w:lineRule="auto"/>
        <w:ind w:right="-20"/>
        <w:jc w:val="left"/>
        <w:rPr>
          <w:rFonts w:ascii="宋体" w:hAnsi="宋体"/>
          <w:sz w:val="24"/>
          <w:szCs w:val="24"/>
        </w:rPr>
      </w:pPr>
      <w:r>
        <w:rPr>
          <w:rFonts w:hint="eastAsia" w:ascii="宋体" w:hAnsi="宋体"/>
          <w:sz w:val="24"/>
          <w:szCs w:val="24"/>
        </w:rPr>
        <w:t>投标人保证提供的服务不侵犯任何第三方的专利、商标或版权。否则，投标人须承担对第三方的专利或版权的侵权责任并承担因此而发生的所有费用。</w:t>
      </w:r>
    </w:p>
    <w:p>
      <w:pPr>
        <w:spacing w:line="360" w:lineRule="auto"/>
        <w:rPr>
          <w:rFonts w:ascii="宋体" w:hAnsi="宋体"/>
          <w:b/>
          <w:sz w:val="28"/>
          <w:szCs w:val="28"/>
        </w:rPr>
      </w:pPr>
    </w:p>
    <w:p>
      <w:pPr>
        <w:numPr>
          <w:ilvl w:val="0"/>
          <w:numId w:val="5"/>
        </w:numPr>
        <w:spacing w:line="360" w:lineRule="auto"/>
        <w:rPr>
          <w:rFonts w:ascii="宋体" w:hAnsi="宋体"/>
          <w:b/>
          <w:sz w:val="28"/>
          <w:szCs w:val="28"/>
        </w:rPr>
      </w:pPr>
      <w:r>
        <w:rPr>
          <w:rFonts w:hint="eastAsia" w:ascii="宋体" w:hAnsi="宋体"/>
          <w:b/>
          <w:sz w:val="28"/>
          <w:szCs w:val="28"/>
        </w:rPr>
        <w:t>服务要求</w:t>
      </w:r>
    </w:p>
    <w:p>
      <w:pPr>
        <w:spacing w:line="360" w:lineRule="auto"/>
        <w:ind w:right="-20" w:firstLine="432" w:firstLineChars="180"/>
        <w:jc w:val="left"/>
        <w:rPr>
          <w:rFonts w:ascii="宋体" w:hAnsi="宋体"/>
          <w:sz w:val="24"/>
          <w:szCs w:val="24"/>
        </w:rPr>
      </w:pPr>
      <w:r>
        <w:rPr>
          <w:rFonts w:hint="eastAsia" w:ascii="宋体" w:hAnsi="宋体"/>
          <w:sz w:val="24"/>
          <w:szCs w:val="24"/>
        </w:rPr>
        <w:t>本项目投标总价须包括服务的架构设计、开通调试、验收以及相关技术服务（包括技术资料的提供）、质量保证期保障服务、各项税费等的全部费用。</w:t>
      </w:r>
    </w:p>
    <w:p>
      <w:pPr>
        <w:rPr>
          <w:rFonts w:ascii="宋体" w:hAnsi="宋体"/>
          <w:szCs w:val="24"/>
        </w:rPr>
      </w:pPr>
    </w:p>
    <w:p>
      <w:pPr>
        <w:numPr>
          <w:ilvl w:val="0"/>
          <w:numId w:val="1"/>
        </w:numPr>
        <w:spacing w:line="360" w:lineRule="auto"/>
        <w:rPr>
          <w:rFonts w:ascii="宋体" w:hAnsi="宋体"/>
          <w:b/>
          <w:sz w:val="28"/>
          <w:szCs w:val="28"/>
        </w:rPr>
      </w:pPr>
      <w:r>
        <w:rPr>
          <w:rFonts w:hint="eastAsia" w:ascii="宋体" w:hAnsi="宋体"/>
          <w:b/>
          <w:sz w:val="28"/>
          <w:szCs w:val="28"/>
        </w:rPr>
        <w:t>采购项目商务要求</w:t>
      </w:r>
    </w:p>
    <w:p>
      <w:pPr>
        <w:numPr>
          <w:ilvl w:val="0"/>
          <w:numId w:val="15"/>
        </w:numPr>
        <w:spacing w:line="360" w:lineRule="auto"/>
        <w:rPr>
          <w:rFonts w:ascii="宋体" w:hAnsi="宋体"/>
          <w:b/>
          <w:sz w:val="28"/>
          <w:szCs w:val="28"/>
        </w:rPr>
      </w:pPr>
      <w:r>
        <w:rPr>
          <w:rFonts w:hint="eastAsia" w:ascii="宋体" w:hAnsi="宋体"/>
          <w:b/>
          <w:sz w:val="28"/>
          <w:szCs w:val="28"/>
        </w:rPr>
        <w:t>供货要求</w:t>
      </w:r>
    </w:p>
    <w:p>
      <w:pPr>
        <w:spacing w:line="360" w:lineRule="auto"/>
        <w:ind w:right="-20" w:firstLine="432" w:firstLineChars="180"/>
        <w:jc w:val="left"/>
        <w:rPr>
          <w:rFonts w:ascii="宋体" w:hAnsi="宋体"/>
          <w:sz w:val="24"/>
          <w:szCs w:val="24"/>
        </w:rPr>
      </w:pPr>
      <w:r>
        <w:rPr>
          <w:rFonts w:hint="eastAsia" w:ascii="宋体" w:hAnsi="宋体"/>
          <w:sz w:val="24"/>
          <w:szCs w:val="24"/>
        </w:rPr>
        <w:t>投标人必须向采购人提供本项目采购的所有服务的开通调试和平台维护服务的全部内容。若本项目采购的服务等方面的配置或要求中出现不合理或不完整的问题时，投标人有责任和义务在投标文件中提出补充修改方案并征得采购人同意后付诸实施。</w:t>
      </w:r>
    </w:p>
    <w:p>
      <w:pPr>
        <w:spacing w:line="360" w:lineRule="auto"/>
        <w:ind w:right="-20"/>
        <w:jc w:val="left"/>
        <w:rPr>
          <w:rFonts w:ascii="宋体" w:hAnsi="宋体" w:cs="仿宋_GB2312"/>
          <w:w w:val="99"/>
          <w:sz w:val="24"/>
          <w:szCs w:val="24"/>
          <w:lang w:val="zh-CN"/>
        </w:rPr>
      </w:pPr>
    </w:p>
    <w:p>
      <w:pPr>
        <w:numPr>
          <w:ilvl w:val="0"/>
          <w:numId w:val="15"/>
        </w:numPr>
        <w:spacing w:line="360" w:lineRule="auto"/>
        <w:rPr>
          <w:rFonts w:ascii="宋体" w:hAnsi="宋体"/>
          <w:b/>
          <w:sz w:val="28"/>
          <w:szCs w:val="28"/>
        </w:rPr>
      </w:pPr>
      <w:r>
        <w:rPr>
          <w:rFonts w:hint="eastAsia" w:ascii="宋体" w:hAnsi="宋体"/>
          <w:b/>
          <w:sz w:val="28"/>
          <w:szCs w:val="28"/>
        </w:rPr>
        <w:t>项目预算</w:t>
      </w:r>
    </w:p>
    <w:p>
      <w:pPr>
        <w:spacing w:line="360" w:lineRule="auto"/>
        <w:ind w:right="-20" w:firstLine="432" w:firstLineChars="180"/>
        <w:jc w:val="left"/>
        <w:rPr>
          <w:rFonts w:ascii="宋体" w:hAnsi="宋体"/>
          <w:sz w:val="24"/>
          <w:szCs w:val="24"/>
        </w:rPr>
      </w:pPr>
      <w:r>
        <w:rPr>
          <w:rFonts w:hint="eastAsia" w:ascii="宋体" w:hAnsi="宋体"/>
          <w:sz w:val="24"/>
          <w:szCs w:val="24"/>
        </w:rPr>
        <w:t>本项目总预算10万元人民币，投标方不得高于预算资金。投标人应对项目内所有的招标内容进行投标，不允许只对部分内容进行投标。</w:t>
      </w:r>
    </w:p>
    <w:p>
      <w:pPr>
        <w:spacing w:line="360" w:lineRule="auto"/>
        <w:ind w:firstLine="237" w:firstLineChars="100"/>
        <w:rPr>
          <w:rFonts w:ascii="宋体" w:hAnsi="宋体" w:cs="仿宋_GB2312"/>
          <w:w w:val="99"/>
          <w:sz w:val="24"/>
          <w:szCs w:val="24"/>
        </w:rPr>
      </w:pPr>
    </w:p>
    <w:p>
      <w:pPr>
        <w:numPr>
          <w:ilvl w:val="0"/>
          <w:numId w:val="15"/>
        </w:numPr>
        <w:spacing w:line="360" w:lineRule="auto"/>
        <w:rPr>
          <w:rFonts w:ascii="宋体" w:hAnsi="宋体"/>
          <w:b/>
          <w:sz w:val="28"/>
          <w:szCs w:val="28"/>
        </w:rPr>
      </w:pPr>
      <w:r>
        <w:rPr>
          <w:rFonts w:hint="eastAsia" w:ascii="宋体" w:hAnsi="宋体"/>
          <w:b/>
          <w:sz w:val="28"/>
          <w:szCs w:val="28"/>
        </w:rPr>
        <w:t>报价要求</w:t>
      </w:r>
    </w:p>
    <w:p>
      <w:pPr>
        <w:spacing w:line="360" w:lineRule="auto"/>
        <w:ind w:right="-20" w:firstLine="432" w:firstLineChars="180"/>
        <w:jc w:val="left"/>
        <w:rPr>
          <w:rFonts w:ascii="宋体" w:hAnsi="宋体"/>
          <w:sz w:val="24"/>
          <w:szCs w:val="24"/>
        </w:rPr>
      </w:pPr>
      <w:r>
        <w:rPr>
          <w:rFonts w:hint="eastAsia" w:ascii="宋体" w:hAnsi="宋体"/>
          <w:sz w:val="24"/>
          <w:szCs w:val="24"/>
        </w:rPr>
        <w:t>本项目投标总价须包括服务的架构设计、开通调试、验收以及相关技术服务（包括技术资料的提供）、质量保证期保障服务、各项税费等的全部费用。所有价格均应以人民币报价，金额单位为元。</w:t>
      </w:r>
    </w:p>
    <w:p>
      <w:pPr>
        <w:spacing w:line="327" w:lineRule="auto"/>
        <w:ind w:right="20"/>
        <w:jc w:val="left"/>
        <w:rPr>
          <w:rFonts w:ascii="宋体" w:hAnsi="宋体" w:cs="仿宋_GB2312"/>
          <w:w w:val="99"/>
          <w:sz w:val="24"/>
          <w:szCs w:val="24"/>
          <w:lang w:val="zh-CN"/>
        </w:rPr>
      </w:pPr>
    </w:p>
    <w:p>
      <w:pPr>
        <w:numPr>
          <w:ilvl w:val="0"/>
          <w:numId w:val="15"/>
        </w:numPr>
        <w:spacing w:line="360" w:lineRule="auto"/>
        <w:rPr>
          <w:rFonts w:ascii="宋体" w:hAnsi="宋体"/>
          <w:b/>
          <w:sz w:val="28"/>
          <w:szCs w:val="28"/>
        </w:rPr>
      </w:pPr>
      <w:r>
        <w:rPr>
          <w:rFonts w:hint="eastAsia" w:ascii="宋体" w:hAnsi="宋体"/>
          <w:b/>
          <w:sz w:val="28"/>
          <w:szCs w:val="28"/>
        </w:rPr>
        <w:t>服务期</w:t>
      </w:r>
    </w:p>
    <w:p>
      <w:pPr>
        <w:spacing w:line="360" w:lineRule="auto"/>
        <w:ind w:right="-20" w:firstLine="432" w:firstLineChars="180"/>
        <w:jc w:val="left"/>
        <w:rPr>
          <w:rFonts w:ascii="宋体" w:hAnsi="宋体"/>
          <w:sz w:val="24"/>
          <w:szCs w:val="24"/>
        </w:rPr>
      </w:pPr>
      <w:r>
        <w:rPr>
          <w:rFonts w:hint="eastAsia" w:ascii="宋体" w:hAnsi="宋体"/>
          <w:sz w:val="24"/>
          <w:szCs w:val="24"/>
        </w:rPr>
        <w:t>所有供应的服务有效期为1年（若本需求书上有特别要求的按特别要求执行），服务期为自合同签订并生效后的1年。服务期内提供免费的技术支持服务（含远程）。</w:t>
      </w:r>
    </w:p>
    <w:p>
      <w:pPr>
        <w:widowControl/>
        <w:jc w:val="left"/>
        <w:rPr>
          <w:rFonts w:ascii="宋体" w:hAnsi="宋体" w:cs="仿宋_GB2312"/>
          <w:w w:val="99"/>
          <w:sz w:val="24"/>
          <w:szCs w:val="24"/>
          <w:lang w:val="zh-CN"/>
        </w:rPr>
      </w:pPr>
    </w:p>
    <w:p>
      <w:pPr>
        <w:numPr>
          <w:ilvl w:val="0"/>
          <w:numId w:val="15"/>
        </w:numPr>
        <w:spacing w:line="360" w:lineRule="auto"/>
        <w:rPr>
          <w:rFonts w:ascii="宋体" w:hAnsi="宋体"/>
          <w:b/>
          <w:sz w:val="28"/>
          <w:szCs w:val="28"/>
        </w:rPr>
      </w:pPr>
      <w:r>
        <w:rPr>
          <w:rFonts w:hint="eastAsia" w:ascii="宋体" w:hAnsi="宋体"/>
          <w:b/>
          <w:sz w:val="28"/>
          <w:szCs w:val="28"/>
        </w:rPr>
        <w:t>验收要求</w:t>
      </w:r>
    </w:p>
    <w:p>
      <w:pPr>
        <w:numPr>
          <w:ilvl w:val="0"/>
          <w:numId w:val="16"/>
        </w:numPr>
        <w:spacing w:line="360" w:lineRule="auto"/>
        <w:rPr>
          <w:rFonts w:ascii="宋体" w:hAnsi="宋体"/>
          <w:sz w:val="24"/>
          <w:szCs w:val="24"/>
        </w:rPr>
      </w:pPr>
      <w:r>
        <w:rPr>
          <w:rFonts w:hint="eastAsia" w:ascii="宋体" w:hAnsi="宋体"/>
          <w:sz w:val="24"/>
          <w:szCs w:val="24"/>
        </w:rPr>
        <w:t>由采购人组织相关专家（包括业务专家和技术专家）按合同要求对产品服务规格进行验收。</w:t>
      </w:r>
    </w:p>
    <w:p>
      <w:pPr>
        <w:numPr>
          <w:ilvl w:val="0"/>
          <w:numId w:val="16"/>
        </w:numPr>
        <w:spacing w:line="360" w:lineRule="auto"/>
        <w:rPr>
          <w:rFonts w:ascii="宋体" w:hAnsi="宋体"/>
          <w:sz w:val="24"/>
          <w:szCs w:val="24"/>
        </w:rPr>
      </w:pPr>
      <w:r>
        <w:rPr>
          <w:rFonts w:hint="eastAsia" w:ascii="宋体" w:hAnsi="宋体"/>
          <w:sz w:val="24"/>
          <w:szCs w:val="24"/>
        </w:rPr>
        <w:t>公有云平台服务必须达到合同约定的功能和性能指标。</w:t>
      </w:r>
    </w:p>
    <w:p>
      <w:pPr>
        <w:spacing w:line="360" w:lineRule="auto"/>
        <w:rPr>
          <w:rFonts w:ascii="宋体" w:hAnsi="宋体" w:cs="仿宋_GB2312"/>
          <w:w w:val="99"/>
          <w:sz w:val="24"/>
          <w:szCs w:val="24"/>
          <w:lang w:val="zh-CN"/>
        </w:rPr>
      </w:pPr>
    </w:p>
    <w:p>
      <w:pPr>
        <w:numPr>
          <w:ilvl w:val="0"/>
          <w:numId w:val="15"/>
        </w:numPr>
        <w:spacing w:line="360" w:lineRule="auto"/>
        <w:rPr>
          <w:rFonts w:ascii="宋体" w:hAnsi="宋体"/>
          <w:b/>
          <w:sz w:val="28"/>
          <w:szCs w:val="28"/>
        </w:rPr>
      </w:pPr>
      <w:r>
        <w:rPr>
          <w:rFonts w:hint="eastAsia" w:ascii="宋体" w:hAnsi="宋体"/>
          <w:b/>
          <w:sz w:val="28"/>
          <w:szCs w:val="28"/>
        </w:rPr>
        <w:t>售后服务</w:t>
      </w:r>
    </w:p>
    <w:p>
      <w:pPr>
        <w:numPr>
          <w:ilvl w:val="0"/>
          <w:numId w:val="17"/>
        </w:numPr>
        <w:spacing w:line="360" w:lineRule="auto"/>
        <w:rPr>
          <w:rFonts w:ascii="宋体" w:hAnsi="宋体"/>
          <w:sz w:val="24"/>
          <w:szCs w:val="24"/>
        </w:rPr>
      </w:pPr>
      <w:r>
        <w:rPr>
          <w:rFonts w:hint="eastAsia" w:ascii="宋体" w:hAnsi="宋体"/>
          <w:sz w:val="24"/>
          <w:szCs w:val="24"/>
        </w:rPr>
        <w:t>投标人必须在用户所在地或附近地区有专业的售后服务力量。提供售后服务联系电话及联系人。免费质保期内，接到报障电话8小时内派工程技术人员联系,且在48小时内远程处理完毕。规定时间内未处理完毕的，投标人需提供应急预案并按当中规定，提供相应服务及解决方案供用户使用至故障服务能正常使用为止。</w:t>
      </w:r>
    </w:p>
    <w:p>
      <w:pPr>
        <w:numPr>
          <w:ilvl w:val="0"/>
          <w:numId w:val="17"/>
        </w:numPr>
        <w:spacing w:line="360" w:lineRule="auto"/>
        <w:rPr>
          <w:rFonts w:ascii="宋体" w:hAnsi="宋体"/>
          <w:sz w:val="24"/>
          <w:szCs w:val="24"/>
        </w:rPr>
      </w:pPr>
      <w:r>
        <w:rPr>
          <w:rFonts w:hint="eastAsia" w:ascii="宋体" w:hAnsi="宋体"/>
          <w:sz w:val="24"/>
          <w:szCs w:val="24"/>
        </w:rPr>
        <w:t>对服务期内的故障报修，如投标人未能做到上款的服务承诺，用户可采取必要的补救措施，但其风险和费用由投标人承担，由于投标人的保证服务不到位，服务期的到期时间将顺延。</w:t>
      </w:r>
    </w:p>
    <w:p>
      <w:pPr>
        <w:numPr>
          <w:ilvl w:val="0"/>
          <w:numId w:val="17"/>
        </w:numPr>
        <w:spacing w:line="360" w:lineRule="auto"/>
        <w:rPr>
          <w:rFonts w:ascii="宋体" w:hAnsi="宋体"/>
          <w:sz w:val="24"/>
          <w:szCs w:val="24"/>
        </w:rPr>
      </w:pPr>
      <w:r>
        <w:rPr>
          <w:rFonts w:hint="eastAsia" w:ascii="宋体" w:hAnsi="宋体"/>
          <w:sz w:val="24"/>
          <w:szCs w:val="24"/>
        </w:rPr>
        <w:t>服务期内因用户使用、管理不当所造成的损失由用户承担，投标人可提供有偿服务协助用户修复损失。</w:t>
      </w:r>
    </w:p>
    <w:p>
      <w:pPr>
        <w:spacing w:line="327" w:lineRule="auto"/>
        <w:ind w:right="75"/>
        <w:rPr>
          <w:rFonts w:ascii="宋体" w:hAnsi="宋体"/>
          <w:sz w:val="24"/>
          <w:szCs w:val="24"/>
        </w:rPr>
      </w:pPr>
    </w:p>
    <w:p>
      <w:pPr>
        <w:numPr>
          <w:ilvl w:val="0"/>
          <w:numId w:val="15"/>
        </w:numPr>
        <w:spacing w:line="360" w:lineRule="auto"/>
        <w:rPr>
          <w:rFonts w:ascii="宋体" w:hAnsi="宋体"/>
          <w:b/>
          <w:sz w:val="28"/>
          <w:szCs w:val="28"/>
        </w:rPr>
      </w:pPr>
      <w:r>
        <w:rPr>
          <w:rFonts w:hint="eastAsia" w:ascii="宋体" w:hAnsi="宋体"/>
          <w:b/>
          <w:sz w:val="28"/>
          <w:szCs w:val="28"/>
        </w:rPr>
        <w:t>付款方式</w:t>
      </w:r>
    </w:p>
    <w:p>
      <w:pPr>
        <w:numPr>
          <w:ilvl w:val="0"/>
          <w:numId w:val="18"/>
        </w:numPr>
        <w:spacing w:line="360" w:lineRule="auto"/>
        <w:rPr>
          <w:rFonts w:ascii="宋体" w:hAnsi="宋体"/>
          <w:sz w:val="24"/>
          <w:szCs w:val="24"/>
        </w:rPr>
      </w:pPr>
      <w:r>
        <w:rPr>
          <w:rFonts w:hint="eastAsia" w:ascii="宋体" w:hAnsi="宋体"/>
          <w:sz w:val="24"/>
          <w:szCs w:val="24"/>
        </w:rPr>
        <w:t>中标人与采购人签订合同后10个工作日内，采购人向中标人支付合同金额的</w:t>
      </w:r>
      <w:r>
        <w:rPr>
          <w:rFonts w:ascii="宋体" w:hAnsi="宋体"/>
          <w:sz w:val="24"/>
          <w:szCs w:val="24"/>
        </w:rPr>
        <w:t>100</w:t>
      </w:r>
      <w:r>
        <w:rPr>
          <w:rFonts w:hint="eastAsia" w:ascii="宋体" w:hAnsi="宋体"/>
          <w:sz w:val="24"/>
          <w:szCs w:val="24"/>
        </w:rPr>
        <w:t>%的款项，中标人收到合同金额后应在3个工作日内按照服务采购规格开通相应服务。</w:t>
      </w:r>
    </w:p>
    <w:p>
      <w:pPr>
        <w:numPr>
          <w:ilvl w:val="0"/>
          <w:numId w:val="18"/>
        </w:numPr>
        <w:spacing w:line="360" w:lineRule="auto"/>
        <w:rPr>
          <w:rFonts w:ascii="宋体" w:hAnsi="宋体"/>
          <w:sz w:val="24"/>
          <w:szCs w:val="24"/>
        </w:rPr>
      </w:pPr>
      <w:r>
        <w:rPr>
          <w:rFonts w:hint="eastAsia" w:ascii="宋体" w:hAnsi="宋体"/>
          <w:sz w:val="24"/>
          <w:szCs w:val="24"/>
        </w:rPr>
        <w:t>付款方式：采用银行转账等方式。</w:t>
      </w:r>
    </w:p>
    <w:p>
      <w:pPr>
        <w:numPr>
          <w:ilvl w:val="0"/>
          <w:numId w:val="18"/>
        </w:numPr>
        <w:spacing w:line="360" w:lineRule="auto"/>
        <w:rPr>
          <w:rFonts w:ascii="宋体" w:hAnsi="宋体"/>
          <w:sz w:val="24"/>
          <w:szCs w:val="24"/>
        </w:rPr>
      </w:pPr>
      <w:r>
        <w:rPr>
          <w:rFonts w:hint="eastAsia" w:ascii="宋体" w:hAnsi="宋体"/>
          <w:sz w:val="24"/>
          <w:szCs w:val="24"/>
        </w:rPr>
        <w:t>发票提供方式：中标人向采购人申请支付款项时，需一次性提供全额发票。</w:t>
      </w:r>
    </w:p>
    <w:p>
      <w:pPr>
        <w:spacing w:line="360" w:lineRule="auto"/>
        <w:rPr>
          <w:rFonts w:ascii="宋体" w:hAnsi="宋体" w:cs="仿宋_GB2312"/>
          <w:w w:val="99"/>
          <w:sz w:val="24"/>
          <w:szCs w:val="24"/>
          <w:lang w:val="zh-CN"/>
        </w:rPr>
      </w:pPr>
    </w:p>
    <w:p>
      <w:pPr>
        <w:numPr>
          <w:ilvl w:val="0"/>
          <w:numId w:val="15"/>
        </w:numPr>
        <w:spacing w:line="360" w:lineRule="auto"/>
        <w:rPr>
          <w:rFonts w:ascii="宋体" w:hAnsi="宋体"/>
          <w:b/>
          <w:sz w:val="28"/>
          <w:szCs w:val="28"/>
        </w:rPr>
      </w:pPr>
      <w:r>
        <w:rPr>
          <w:rFonts w:hint="eastAsia" w:ascii="宋体" w:hAnsi="宋体"/>
          <w:b/>
          <w:sz w:val="28"/>
          <w:szCs w:val="28"/>
        </w:rPr>
        <w:t>其它要求</w:t>
      </w:r>
    </w:p>
    <w:p>
      <w:pPr>
        <w:spacing w:line="360" w:lineRule="auto"/>
        <w:ind w:right="-20" w:firstLine="432" w:firstLineChars="180"/>
        <w:jc w:val="left"/>
        <w:rPr>
          <w:rFonts w:ascii="宋体" w:hAnsi="宋体"/>
          <w:sz w:val="24"/>
          <w:szCs w:val="24"/>
        </w:rPr>
      </w:pPr>
      <w:r>
        <w:rPr>
          <w:rFonts w:hint="eastAsia" w:ascii="宋体" w:hAnsi="宋体"/>
          <w:sz w:val="24"/>
          <w:szCs w:val="24"/>
        </w:rPr>
        <w:t>中标人必须承担合同履行时所应尽的一切保密义务。中标供应商对项目实施过程中的资料、数据进行保密，未经采购人书面同意不得泄露，且保密责任不因合同的中止或解除而失效。</w:t>
      </w:r>
    </w:p>
    <w:p>
      <w:pPr>
        <w:spacing w:line="360" w:lineRule="auto"/>
        <w:ind w:right="-20"/>
        <w:jc w:val="left"/>
        <w:rPr>
          <w:rFonts w:ascii="宋体" w:hAnsi="宋体"/>
          <w:sz w:val="24"/>
          <w:szCs w:val="24"/>
        </w:rPr>
      </w:pPr>
    </w:p>
    <w:p>
      <w:pPr>
        <w:numPr>
          <w:ilvl w:val="0"/>
          <w:numId w:val="15"/>
        </w:numPr>
        <w:spacing w:line="360" w:lineRule="auto"/>
        <w:rPr>
          <w:rFonts w:ascii="宋体" w:hAnsi="宋体"/>
          <w:b/>
          <w:sz w:val="28"/>
          <w:szCs w:val="28"/>
        </w:rPr>
      </w:pPr>
      <w:r>
        <w:rPr>
          <w:rFonts w:hint="eastAsia" w:ascii="宋体" w:hAnsi="宋体"/>
          <w:b/>
          <w:sz w:val="28"/>
          <w:szCs w:val="28"/>
        </w:rPr>
        <w:t>评分标准</w:t>
      </w:r>
    </w:p>
    <w:p>
      <w:pPr>
        <w:pStyle w:val="8"/>
        <w:widowControl/>
        <w:numPr>
          <w:ilvl w:val="0"/>
          <w:numId w:val="19"/>
        </w:numPr>
        <w:ind w:firstLineChars="0"/>
        <w:jc w:val="left"/>
        <w:rPr>
          <w:rFonts w:ascii="宋体" w:hAnsi="宋体"/>
          <w:sz w:val="24"/>
          <w:szCs w:val="24"/>
        </w:rPr>
      </w:pPr>
      <w:r>
        <w:rPr>
          <w:rFonts w:hint="eastAsia" w:ascii="宋体" w:hAnsi="宋体"/>
          <w:sz w:val="24"/>
          <w:szCs w:val="24"/>
        </w:rPr>
        <w:t>评分权重分配</w:t>
      </w:r>
    </w:p>
    <w:tbl>
      <w:tblPr>
        <w:tblStyle w:val="4"/>
        <w:tblW w:w="0" w:type="auto"/>
        <w:tblInd w:w="4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00"/>
        <w:gridCol w:w="1717"/>
        <w:gridCol w:w="1767"/>
        <w:gridCol w:w="16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300" w:type="dxa"/>
            <w:tcBorders>
              <w:top w:val="double" w:color="auto" w:sz="4" w:space="0"/>
              <w:left w:val="double" w:color="auto" w:sz="4" w:space="0"/>
              <w:bottom w:val="single" w:color="auto" w:sz="6" w:space="0"/>
              <w:right w:val="single" w:color="auto" w:sz="6" w:space="0"/>
            </w:tcBorders>
            <w:shd w:val="clear" w:color="auto" w:fill="E0E0E0"/>
            <w:vAlign w:val="center"/>
          </w:tcPr>
          <w:p>
            <w:pPr>
              <w:jc w:val="center"/>
              <w:rPr>
                <w:b/>
                <w:color w:val="000000"/>
                <w:sz w:val="24"/>
                <w:szCs w:val="24"/>
              </w:rPr>
            </w:pPr>
            <w:r>
              <w:rPr>
                <w:rFonts w:hint="eastAsia" w:ascii="宋体" w:hAnsi="宋体"/>
                <w:b/>
                <w:color w:val="000000"/>
                <w:sz w:val="24"/>
                <w:szCs w:val="24"/>
              </w:rPr>
              <w:t>评分项目</w:t>
            </w:r>
          </w:p>
        </w:tc>
        <w:tc>
          <w:tcPr>
            <w:tcW w:w="1717" w:type="dxa"/>
            <w:tcBorders>
              <w:top w:val="double" w:color="auto" w:sz="4" w:space="0"/>
              <w:left w:val="single" w:color="auto" w:sz="6" w:space="0"/>
              <w:bottom w:val="single" w:color="auto" w:sz="6" w:space="0"/>
              <w:right w:val="single" w:color="auto" w:sz="6" w:space="0"/>
            </w:tcBorders>
            <w:shd w:val="clear" w:color="auto" w:fill="E0E0E0"/>
            <w:vAlign w:val="center"/>
          </w:tcPr>
          <w:p>
            <w:pPr>
              <w:jc w:val="center"/>
              <w:rPr>
                <w:b/>
                <w:color w:val="000000"/>
                <w:sz w:val="24"/>
                <w:szCs w:val="24"/>
              </w:rPr>
            </w:pPr>
            <w:r>
              <w:rPr>
                <w:rFonts w:hint="eastAsia" w:ascii="宋体" w:hAnsi="宋体"/>
                <w:b/>
                <w:color w:val="000000"/>
                <w:sz w:val="24"/>
                <w:szCs w:val="24"/>
              </w:rPr>
              <w:t>技术评分</w:t>
            </w:r>
          </w:p>
        </w:tc>
        <w:tc>
          <w:tcPr>
            <w:tcW w:w="1767" w:type="dxa"/>
            <w:tcBorders>
              <w:top w:val="double" w:color="auto" w:sz="4" w:space="0"/>
              <w:left w:val="single" w:color="auto" w:sz="6" w:space="0"/>
              <w:bottom w:val="single" w:color="auto" w:sz="6" w:space="0"/>
              <w:right w:val="single" w:color="auto" w:sz="6" w:space="0"/>
            </w:tcBorders>
            <w:shd w:val="clear" w:color="auto" w:fill="E0E0E0"/>
            <w:vAlign w:val="center"/>
          </w:tcPr>
          <w:p>
            <w:pPr>
              <w:jc w:val="center"/>
              <w:rPr>
                <w:b/>
                <w:color w:val="000000"/>
                <w:sz w:val="24"/>
                <w:szCs w:val="24"/>
              </w:rPr>
            </w:pPr>
            <w:r>
              <w:rPr>
                <w:rFonts w:hint="eastAsia" w:ascii="宋体" w:hAnsi="宋体"/>
                <w:b/>
                <w:color w:val="000000"/>
                <w:sz w:val="24"/>
                <w:szCs w:val="24"/>
              </w:rPr>
              <w:t>商务评分</w:t>
            </w:r>
          </w:p>
        </w:tc>
        <w:tc>
          <w:tcPr>
            <w:tcW w:w="1620" w:type="dxa"/>
            <w:tcBorders>
              <w:top w:val="double" w:color="auto" w:sz="4" w:space="0"/>
              <w:left w:val="single" w:color="auto" w:sz="6" w:space="0"/>
              <w:bottom w:val="single" w:color="auto" w:sz="6" w:space="0"/>
              <w:right w:val="double" w:color="auto" w:sz="4" w:space="0"/>
            </w:tcBorders>
            <w:shd w:val="clear" w:color="auto" w:fill="E0E0E0"/>
            <w:vAlign w:val="center"/>
          </w:tcPr>
          <w:p>
            <w:pPr>
              <w:jc w:val="center"/>
              <w:rPr>
                <w:b/>
                <w:color w:val="000000"/>
                <w:sz w:val="24"/>
                <w:szCs w:val="24"/>
              </w:rPr>
            </w:pPr>
            <w:r>
              <w:rPr>
                <w:rFonts w:hint="eastAsia" w:ascii="宋体" w:hAnsi="宋体"/>
                <w:b/>
                <w:color w:val="000000"/>
                <w:sz w:val="24"/>
                <w:szCs w:val="24"/>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2300" w:type="dxa"/>
            <w:tcBorders>
              <w:top w:val="single" w:color="auto" w:sz="6" w:space="0"/>
              <w:left w:val="double" w:color="auto" w:sz="4" w:space="0"/>
              <w:bottom w:val="double" w:color="auto" w:sz="4" w:space="0"/>
              <w:right w:val="single" w:color="auto" w:sz="6" w:space="0"/>
            </w:tcBorders>
            <w:vAlign w:val="center"/>
          </w:tcPr>
          <w:p>
            <w:pPr>
              <w:jc w:val="center"/>
              <w:rPr>
                <w:b/>
                <w:color w:val="000000"/>
                <w:sz w:val="24"/>
                <w:szCs w:val="24"/>
              </w:rPr>
            </w:pPr>
            <w:r>
              <w:rPr>
                <w:rFonts w:hint="eastAsia" w:ascii="宋体" w:hAnsi="宋体"/>
                <w:b/>
                <w:color w:val="000000"/>
                <w:sz w:val="24"/>
                <w:szCs w:val="24"/>
              </w:rPr>
              <w:t>权重</w:t>
            </w:r>
          </w:p>
        </w:tc>
        <w:tc>
          <w:tcPr>
            <w:tcW w:w="1717" w:type="dxa"/>
            <w:tcBorders>
              <w:top w:val="single" w:color="auto" w:sz="6" w:space="0"/>
              <w:left w:val="single" w:color="auto" w:sz="6" w:space="0"/>
              <w:bottom w:val="double" w:color="auto" w:sz="4" w:space="0"/>
              <w:right w:val="single" w:color="auto" w:sz="6" w:space="0"/>
            </w:tcBorders>
            <w:vAlign w:val="center"/>
          </w:tcPr>
          <w:p>
            <w:pPr>
              <w:jc w:val="center"/>
              <w:rPr>
                <w:color w:val="000000"/>
                <w:sz w:val="24"/>
                <w:szCs w:val="24"/>
              </w:rPr>
            </w:pPr>
            <w:r>
              <w:rPr>
                <w:rFonts w:hint="eastAsia" w:ascii="宋体" w:hAnsi="宋体"/>
                <w:color w:val="000000"/>
                <w:sz w:val="24"/>
                <w:szCs w:val="24"/>
              </w:rPr>
              <w:t>48分</w:t>
            </w:r>
          </w:p>
        </w:tc>
        <w:tc>
          <w:tcPr>
            <w:tcW w:w="1767" w:type="dxa"/>
            <w:tcBorders>
              <w:top w:val="single" w:color="auto" w:sz="6" w:space="0"/>
              <w:left w:val="single" w:color="auto" w:sz="6" w:space="0"/>
              <w:bottom w:val="double" w:color="auto" w:sz="4" w:space="0"/>
              <w:right w:val="single" w:color="auto" w:sz="6" w:space="0"/>
            </w:tcBorders>
            <w:vAlign w:val="center"/>
          </w:tcPr>
          <w:p>
            <w:pPr>
              <w:jc w:val="center"/>
              <w:rPr>
                <w:color w:val="000000"/>
                <w:sz w:val="24"/>
                <w:szCs w:val="24"/>
              </w:rPr>
            </w:pPr>
            <w:r>
              <w:rPr>
                <w:rFonts w:hint="eastAsia" w:ascii="宋体" w:hAnsi="宋体"/>
                <w:color w:val="000000"/>
                <w:sz w:val="24"/>
                <w:szCs w:val="24"/>
              </w:rPr>
              <w:t>22分</w:t>
            </w:r>
          </w:p>
        </w:tc>
        <w:tc>
          <w:tcPr>
            <w:tcW w:w="1620" w:type="dxa"/>
            <w:tcBorders>
              <w:top w:val="single" w:color="auto" w:sz="6" w:space="0"/>
              <w:left w:val="single" w:color="auto" w:sz="6" w:space="0"/>
              <w:bottom w:val="double" w:color="auto" w:sz="4" w:space="0"/>
              <w:right w:val="double" w:color="auto" w:sz="4" w:space="0"/>
            </w:tcBorders>
            <w:vAlign w:val="center"/>
          </w:tcPr>
          <w:p>
            <w:pPr>
              <w:jc w:val="center"/>
              <w:rPr>
                <w:color w:val="000000"/>
                <w:sz w:val="24"/>
                <w:szCs w:val="24"/>
              </w:rPr>
            </w:pPr>
            <w:r>
              <w:rPr>
                <w:rFonts w:hint="eastAsia" w:ascii="宋体" w:hAnsi="宋体"/>
                <w:color w:val="000000"/>
                <w:sz w:val="24"/>
                <w:szCs w:val="24"/>
              </w:rPr>
              <w:t>30分</w:t>
            </w:r>
          </w:p>
        </w:tc>
      </w:tr>
    </w:tbl>
    <w:p>
      <w:pPr>
        <w:pStyle w:val="8"/>
        <w:widowControl/>
        <w:numPr>
          <w:ilvl w:val="0"/>
          <w:numId w:val="19"/>
        </w:numPr>
        <w:ind w:firstLineChars="0"/>
        <w:jc w:val="left"/>
        <w:rPr>
          <w:rFonts w:ascii="宋体" w:hAnsi="宋体"/>
          <w:sz w:val="24"/>
          <w:szCs w:val="24"/>
        </w:rPr>
      </w:pPr>
      <w:r>
        <w:rPr>
          <w:rFonts w:hint="eastAsia" w:ascii="宋体" w:hAnsi="宋体"/>
          <w:sz w:val="24"/>
          <w:szCs w:val="24"/>
        </w:rPr>
        <w:t>商务评分</w:t>
      </w:r>
    </w:p>
    <w:p>
      <w:pPr>
        <w:spacing w:line="360" w:lineRule="auto"/>
        <w:ind w:right="-20" w:firstLine="432" w:firstLineChars="180"/>
        <w:jc w:val="left"/>
        <w:rPr>
          <w:rFonts w:ascii="宋体" w:hAnsi="宋体"/>
          <w:sz w:val="24"/>
          <w:szCs w:val="24"/>
        </w:rPr>
      </w:pPr>
      <w:r>
        <w:rPr>
          <w:rFonts w:hint="eastAsia" w:ascii="宋体" w:hAnsi="宋体"/>
          <w:sz w:val="24"/>
          <w:szCs w:val="24"/>
        </w:rPr>
        <w:t>详见表1：商务评分标准；</w:t>
      </w:r>
    </w:p>
    <w:p>
      <w:pPr>
        <w:pStyle w:val="8"/>
        <w:widowControl/>
        <w:numPr>
          <w:ilvl w:val="0"/>
          <w:numId w:val="19"/>
        </w:numPr>
        <w:ind w:firstLineChars="0"/>
        <w:jc w:val="left"/>
        <w:rPr>
          <w:rFonts w:ascii="宋体" w:hAnsi="宋体"/>
          <w:sz w:val="24"/>
          <w:szCs w:val="24"/>
        </w:rPr>
      </w:pPr>
      <w:r>
        <w:rPr>
          <w:rFonts w:hint="eastAsia" w:ascii="宋体" w:hAnsi="宋体"/>
          <w:sz w:val="24"/>
          <w:szCs w:val="24"/>
        </w:rPr>
        <w:t>技术评分</w:t>
      </w:r>
    </w:p>
    <w:p>
      <w:pPr>
        <w:spacing w:line="360" w:lineRule="auto"/>
        <w:ind w:right="-20" w:firstLine="432" w:firstLineChars="180"/>
        <w:jc w:val="left"/>
        <w:rPr>
          <w:rFonts w:ascii="宋体" w:hAnsi="宋体"/>
          <w:sz w:val="24"/>
          <w:szCs w:val="24"/>
        </w:rPr>
      </w:pPr>
      <w:r>
        <w:rPr>
          <w:rFonts w:hint="eastAsia" w:ascii="宋体" w:hAnsi="宋体"/>
          <w:sz w:val="24"/>
          <w:szCs w:val="24"/>
        </w:rPr>
        <w:t>详见表2：技术评分标准；</w:t>
      </w:r>
    </w:p>
    <w:p>
      <w:pPr>
        <w:pStyle w:val="8"/>
        <w:widowControl/>
        <w:numPr>
          <w:ilvl w:val="0"/>
          <w:numId w:val="19"/>
        </w:numPr>
        <w:ind w:firstLineChars="0"/>
        <w:jc w:val="left"/>
        <w:rPr>
          <w:rFonts w:ascii="宋体" w:hAnsi="宋体"/>
          <w:sz w:val="24"/>
          <w:szCs w:val="24"/>
        </w:rPr>
      </w:pPr>
      <w:r>
        <w:rPr>
          <w:rFonts w:hint="eastAsia" w:ascii="宋体" w:hAnsi="宋体"/>
          <w:sz w:val="24"/>
          <w:szCs w:val="24"/>
        </w:rPr>
        <w:t>价格评分</w:t>
      </w:r>
    </w:p>
    <w:p>
      <w:pPr>
        <w:spacing w:line="360" w:lineRule="auto"/>
        <w:ind w:right="-20" w:firstLine="432" w:firstLineChars="180"/>
        <w:jc w:val="left"/>
        <w:rPr>
          <w:rFonts w:ascii="宋体" w:hAnsi="宋体"/>
          <w:color w:val="000000"/>
          <w:szCs w:val="21"/>
        </w:rPr>
      </w:pPr>
      <w:r>
        <w:rPr>
          <w:rFonts w:hint="eastAsia" w:ascii="宋体" w:hAnsi="宋体"/>
          <w:sz w:val="24"/>
          <w:szCs w:val="24"/>
        </w:rPr>
        <w:t xml:space="preserve">在评标委员会评审后的所有投标人的评标价格，取最低投标价作为基准价格，等于基准价格的评标价定为30分，高于基准价格的评标价则按以下公式计算：价格评分（取小数点后两位）=基准价格/评标价×30，如此类推，算出所有投标人的价格评分。    </w:t>
      </w:r>
      <w:r>
        <w:rPr>
          <w:rFonts w:hint="eastAsia" w:ascii="仿宋" w:hAnsi="仿宋" w:eastAsia="仿宋" w:cs="仿宋"/>
          <w:sz w:val="24"/>
        </w:rPr>
        <w:t xml:space="preserve">     </w:t>
      </w:r>
      <w:r>
        <w:rPr>
          <w:color w:val="000000"/>
        </w:rPr>
        <w:br w:type="page"/>
      </w:r>
      <w:r>
        <w:rPr>
          <w:rFonts w:ascii="宋体" w:hAnsi="宋体"/>
          <w:b/>
          <w:szCs w:val="21"/>
        </w:rPr>
        <w:tab/>
      </w:r>
      <w:r>
        <w:rPr>
          <w:rFonts w:hint="eastAsia" w:ascii="宋体" w:hAnsi="宋体"/>
          <w:color w:val="000000"/>
          <w:szCs w:val="21"/>
        </w:rPr>
        <w:t>附表1：</w:t>
      </w:r>
    </w:p>
    <w:p>
      <w:pPr>
        <w:spacing w:line="360" w:lineRule="auto"/>
        <w:jc w:val="center"/>
        <w:rPr>
          <w:rFonts w:ascii="宋体" w:hAnsi="宋体"/>
          <w:b/>
          <w:bCs/>
          <w:color w:val="000000"/>
          <w:sz w:val="30"/>
          <w:szCs w:val="30"/>
          <w:u w:val="single"/>
        </w:rPr>
      </w:pPr>
      <w:r>
        <w:rPr>
          <w:rFonts w:hint="eastAsia" w:ascii="宋体" w:hAnsi="宋体"/>
          <w:b/>
          <w:bCs/>
          <w:color w:val="000000"/>
          <w:szCs w:val="21"/>
        </w:rPr>
        <w:t xml:space="preserve"> </w:t>
      </w:r>
      <w:r>
        <w:rPr>
          <w:rFonts w:hint="eastAsia" w:ascii="宋体" w:hAnsi="宋体"/>
          <w:b/>
          <w:bCs/>
          <w:color w:val="000000"/>
          <w:sz w:val="30"/>
          <w:szCs w:val="30"/>
          <w:u w:val="single"/>
        </w:rPr>
        <w:t>商务评分表</w:t>
      </w:r>
    </w:p>
    <w:tbl>
      <w:tblPr>
        <w:tblStyle w:val="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59"/>
        <w:gridCol w:w="1276"/>
        <w:gridCol w:w="1280"/>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2" w:hRule="atLeast"/>
          <w:tblHeader/>
        </w:trPr>
        <w:tc>
          <w:tcPr>
            <w:tcW w:w="859"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b/>
                <w:sz w:val="24"/>
                <w:szCs w:val="24"/>
              </w:rPr>
            </w:pPr>
            <w:r>
              <w:rPr>
                <w:rFonts w:ascii="宋体" w:hAnsi="宋体"/>
                <w:b/>
                <w:sz w:val="24"/>
                <w:szCs w:val="24"/>
              </w:rPr>
              <w:t>序号</w:t>
            </w:r>
          </w:p>
        </w:tc>
        <w:tc>
          <w:tcPr>
            <w:tcW w:w="1276"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b/>
                <w:sz w:val="24"/>
                <w:szCs w:val="24"/>
              </w:rPr>
            </w:pPr>
            <w:r>
              <w:rPr>
                <w:rFonts w:ascii="宋体" w:hAnsi="宋体"/>
                <w:b/>
                <w:sz w:val="24"/>
                <w:szCs w:val="24"/>
              </w:rPr>
              <w:t>评审内容</w:t>
            </w:r>
          </w:p>
        </w:tc>
        <w:tc>
          <w:tcPr>
            <w:tcW w:w="1280"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b/>
                <w:sz w:val="24"/>
                <w:szCs w:val="24"/>
              </w:rPr>
            </w:pPr>
            <w:r>
              <w:rPr>
                <w:rFonts w:ascii="宋体" w:hAnsi="宋体"/>
                <w:b/>
                <w:sz w:val="24"/>
                <w:szCs w:val="24"/>
              </w:rPr>
              <w:t>单项</w:t>
            </w:r>
            <w:r>
              <w:rPr>
                <w:rFonts w:hint="eastAsia" w:ascii="宋体" w:hAnsi="宋体"/>
                <w:b/>
                <w:sz w:val="24"/>
                <w:szCs w:val="24"/>
              </w:rPr>
              <w:t>分值</w:t>
            </w:r>
          </w:p>
        </w:tc>
        <w:tc>
          <w:tcPr>
            <w:tcW w:w="5245"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b/>
                <w:sz w:val="24"/>
                <w:szCs w:val="24"/>
              </w:rPr>
            </w:pPr>
            <w:r>
              <w:rPr>
                <w:rFonts w:ascii="宋体" w:hAnsi="宋体"/>
                <w:b/>
                <w:sz w:val="24"/>
                <w:szCs w:val="24"/>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1" w:hRule="atLeast"/>
          <w:tblHeader/>
        </w:trPr>
        <w:tc>
          <w:tcPr>
            <w:tcW w:w="859"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ascii="宋体" w:hAnsi="宋体"/>
                <w:sz w:val="24"/>
                <w:szCs w:val="24"/>
              </w:rPr>
              <w:t>1</w:t>
            </w:r>
          </w:p>
        </w:tc>
        <w:tc>
          <w:tcPr>
            <w:tcW w:w="1276"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运营服务资质</w:t>
            </w:r>
          </w:p>
        </w:tc>
        <w:tc>
          <w:tcPr>
            <w:tcW w:w="1280"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9</w:t>
            </w:r>
          </w:p>
        </w:tc>
        <w:tc>
          <w:tcPr>
            <w:tcW w:w="5245" w:type="dxa"/>
            <w:shd w:val="clear" w:color="auto" w:fill="FFFFFF"/>
            <w:tcMar>
              <w:top w:w="150" w:type="dxa"/>
              <w:left w:w="150" w:type="dxa"/>
              <w:bottom w:w="150" w:type="dxa"/>
              <w:right w:w="150" w:type="dxa"/>
            </w:tcMar>
            <w:vAlign w:val="center"/>
          </w:tcPr>
          <w:p>
            <w:pPr>
              <w:spacing w:line="360" w:lineRule="auto"/>
              <w:ind w:right="-20"/>
              <w:jc w:val="left"/>
              <w:rPr>
                <w:rFonts w:ascii="宋体" w:hAnsi="宋体"/>
                <w:sz w:val="24"/>
                <w:szCs w:val="24"/>
              </w:rPr>
            </w:pPr>
            <w:r>
              <w:rPr>
                <w:rFonts w:hint="eastAsia" w:ascii="宋体" w:hAnsi="宋体" w:cs="仿宋_GB2312"/>
                <w:w w:val="99"/>
                <w:sz w:val="24"/>
                <w:szCs w:val="24"/>
                <w:lang w:val="zh-CN"/>
              </w:rPr>
              <w:t>1、</w:t>
            </w:r>
            <w:r>
              <w:rPr>
                <w:rFonts w:hint="eastAsia" w:ascii="宋体" w:hAnsi="宋体"/>
                <w:sz w:val="24"/>
                <w:szCs w:val="24"/>
              </w:rPr>
              <w:t>所投公有云服务厂商需通过工信部数据中心联盟开源解决方案、对象存储、混合云解决方案、云主机的可信云认证评估，提供证书复印件证明；</w:t>
            </w:r>
          </w:p>
          <w:p>
            <w:pPr>
              <w:spacing w:line="360" w:lineRule="auto"/>
              <w:ind w:right="-20"/>
              <w:jc w:val="left"/>
              <w:rPr>
                <w:rFonts w:ascii="宋体" w:hAnsi="宋体"/>
                <w:sz w:val="24"/>
                <w:szCs w:val="24"/>
              </w:rPr>
            </w:pPr>
            <w:r>
              <w:rPr>
                <w:rFonts w:hint="eastAsia" w:ascii="宋体" w:hAnsi="宋体"/>
                <w:sz w:val="24"/>
                <w:szCs w:val="24"/>
              </w:rPr>
              <w:t>2、所投公有云服务厂商具有涉密信息系统集成甲级资质，并提供证书复印件。</w:t>
            </w:r>
          </w:p>
          <w:p>
            <w:pPr>
              <w:spacing w:line="360" w:lineRule="auto"/>
              <w:ind w:right="-20"/>
              <w:jc w:val="left"/>
              <w:rPr>
                <w:rFonts w:ascii="宋体" w:hAnsi="宋体"/>
                <w:sz w:val="24"/>
                <w:szCs w:val="24"/>
              </w:rPr>
            </w:pPr>
            <w:r>
              <w:rPr>
                <w:rFonts w:hint="eastAsia" w:ascii="宋体" w:hAnsi="宋体"/>
                <w:sz w:val="24"/>
                <w:szCs w:val="24"/>
              </w:rPr>
              <w:t>3、所投公有云服务厂商拥有节点或可用区数量20个以上（含20），提供控制台截图证明。</w:t>
            </w:r>
          </w:p>
          <w:p>
            <w:pPr>
              <w:snapToGrid w:val="0"/>
              <w:spacing w:line="360" w:lineRule="auto"/>
              <w:ind w:left="-2"/>
              <w:jc w:val="left"/>
              <w:rPr>
                <w:rFonts w:ascii="宋体" w:hAnsi="宋体" w:cs="Arial"/>
                <w:sz w:val="24"/>
                <w:szCs w:val="24"/>
              </w:rPr>
            </w:pPr>
            <w:r>
              <w:rPr>
                <w:rFonts w:hint="eastAsia" w:ascii="宋体" w:hAnsi="宋体"/>
                <w:sz w:val="24"/>
                <w:szCs w:val="24"/>
              </w:rPr>
              <w:t>以上各项中，按要求提供一项证明材料得3分，满分9分，不提供或不符合要求则不得分。（证明材料必须为有效期内并加盖公章）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56" w:hRule="atLeast"/>
          <w:tblHeader/>
        </w:trPr>
        <w:tc>
          <w:tcPr>
            <w:tcW w:w="859"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2</w:t>
            </w:r>
          </w:p>
        </w:tc>
        <w:tc>
          <w:tcPr>
            <w:tcW w:w="1276"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投标人综合资质情况</w:t>
            </w:r>
          </w:p>
        </w:tc>
        <w:tc>
          <w:tcPr>
            <w:tcW w:w="1280"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1</w:t>
            </w:r>
            <w:r>
              <w:rPr>
                <w:rFonts w:ascii="宋体" w:hAnsi="宋体"/>
                <w:sz w:val="24"/>
                <w:szCs w:val="24"/>
              </w:rPr>
              <w:t>2</w:t>
            </w:r>
          </w:p>
        </w:tc>
        <w:tc>
          <w:tcPr>
            <w:tcW w:w="5245" w:type="dxa"/>
            <w:shd w:val="clear" w:color="auto" w:fill="FFFFFF"/>
            <w:tcMar>
              <w:top w:w="150" w:type="dxa"/>
              <w:left w:w="150" w:type="dxa"/>
              <w:bottom w:w="150" w:type="dxa"/>
              <w:right w:w="150" w:type="dxa"/>
            </w:tcMar>
            <w:vAlign w:val="center"/>
          </w:tcPr>
          <w:p>
            <w:pPr>
              <w:snapToGrid w:val="0"/>
              <w:spacing w:line="360" w:lineRule="auto"/>
              <w:ind w:left="-2"/>
              <w:jc w:val="left"/>
              <w:rPr>
                <w:rFonts w:ascii="宋体" w:hAnsi="宋体"/>
                <w:sz w:val="24"/>
                <w:szCs w:val="24"/>
              </w:rPr>
            </w:pPr>
            <w:r>
              <w:rPr>
                <w:rFonts w:hint="eastAsia" w:ascii="宋体" w:hAnsi="宋体" w:cs="Arial"/>
                <w:sz w:val="24"/>
                <w:szCs w:val="24"/>
              </w:rPr>
              <w:t>1、</w:t>
            </w:r>
            <w:r>
              <w:rPr>
                <w:rFonts w:hint="eastAsia" w:ascii="宋体" w:hAnsi="宋体"/>
                <w:sz w:val="24"/>
                <w:szCs w:val="24"/>
              </w:rPr>
              <w:t>具有ISO 27001信息安全管理体系认证证书。</w:t>
            </w:r>
          </w:p>
          <w:p>
            <w:pPr>
              <w:snapToGrid w:val="0"/>
              <w:spacing w:line="360" w:lineRule="auto"/>
              <w:ind w:left="-2"/>
              <w:jc w:val="left"/>
              <w:rPr>
                <w:rFonts w:ascii="宋体" w:hAnsi="宋体"/>
                <w:sz w:val="24"/>
                <w:szCs w:val="24"/>
              </w:rPr>
            </w:pPr>
            <w:r>
              <w:rPr>
                <w:rFonts w:hint="eastAsia" w:ascii="宋体" w:hAnsi="宋体"/>
                <w:sz w:val="24"/>
                <w:szCs w:val="24"/>
              </w:rPr>
              <w:t>2、具有I</w:t>
            </w:r>
            <w:r>
              <w:rPr>
                <w:rFonts w:ascii="宋体" w:hAnsi="宋体"/>
                <w:sz w:val="24"/>
                <w:szCs w:val="24"/>
              </w:rPr>
              <w:t xml:space="preserve">SO </w:t>
            </w:r>
            <w:r>
              <w:rPr>
                <w:rFonts w:hint="eastAsia" w:ascii="宋体" w:hAnsi="宋体"/>
                <w:sz w:val="24"/>
                <w:szCs w:val="24"/>
              </w:rPr>
              <w:t>18001职业健康安全管理体系认证证书</w:t>
            </w:r>
          </w:p>
          <w:p>
            <w:pPr>
              <w:snapToGrid w:val="0"/>
              <w:spacing w:line="360" w:lineRule="auto"/>
              <w:ind w:left="-2"/>
              <w:jc w:val="left"/>
              <w:rPr>
                <w:rFonts w:ascii="宋体" w:hAnsi="宋体"/>
                <w:sz w:val="24"/>
                <w:szCs w:val="24"/>
              </w:rPr>
            </w:pPr>
            <w:r>
              <w:rPr>
                <w:rFonts w:hint="eastAsia" w:ascii="宋体" w:hAnsi="宋体"/>
                <w:sz w:val="24"/>
                <w:szCs w:val="24"/>
              </w:rPr>
              <w:t>3、具有ISO</w:t>
            </w:r>
            <w:r>
              <w:rPr>
                <w:rFonts w:ascii="宋体" w:hAnsi="宋体"/>
                <w:sz w:val="24"/>
                <w:szCs w:val="24"/>
              </w:rPr>
              <w:t xml:space="preserve"> </w:t>
            </w:r>
            <w:r>
              <w:rPr>
                <w:rFonts w:hint="eastAsia" w:ascii="宋体" w:hAnsi="宋体"/>
                <w:sz w:val="24"/>
                <w:szCs w:val="24"/>
              </w:rPr>
              <w:t>14001环境管理体系认证证书</w:t>
            </w:r>
          </w:p>
          <w:p>
            <w:pPr>
              <w:snapToGrid w:val="0"/>
              <w:spacing w:line="360" w:lineRule="auto"/>
              <w:ind w:left="-2"/>
              <w:jc w:val="left"/>
              <w:rPr>
                <w:rFonts w:ascii="宋体" w:hAnsi="宋体"/>
                <w:sz w:val="24"/>
                <w:szCs w:val="24"/>
              </w:rPr>
            </w:pPr>
            <w:r>
              <w:rPr>
                <w:rFonts w:hint="eastAsia" w:ascii="宋体" w:hAnsi="宋体"/>
                <w:sz w:val="24"/>
                <w:szCs w:val="24"/>
              </w:rPr>
              <w:t>4、具有ISO/IEC 20000信息技术服务管理体系认证</w:t>
            </w:r>
          </w:p>
          <w:p>
            <w:pPr>
              <w:snapToGrid w:val="0"/>
              <w:spacing w:line="360" w:lineRule="auto"/>
              <w:ind w:left="-2"/>
              <w:jc w:val="left"/>
              <w:rPr>
                <w:rFonts w:ascii="宋体" w:hAnsi="宋体"/>
                <w:sz w:val="24"/>
                <w:szCs w:val="24"/>
              </w:rPr>
            </w:pPr>
            <w:r>
              <w:rPr>
                <w:rFonts w:hint="eastAsia" w:ascii="宋体" w:hAnsi="宋体"/>
                <w:sz w:val="24"/>
                <w:szCs w:val="24"/>
              </w:rPr>
              <w:t>5、具有ITSS全权成员单位认证证书。</w:t>
            </w:r>
          </w:p>
          <w:p>
            <w:pPr>
              <w:snapToGrid w:val="0"/>
              <w:spacing w:line="360" w:lineRule="auto"/>
              <w:ind w:left="-2"/>
              <w:jc w:val="left"/>
              <w:rPr>
                <w:rFonts w:ascii="宋体" w:hAnsi="宋体"/>
                <w:sz w:val="24"/>
                <w:szCs w:val="24"/>
              </w:rPr>
            </w:pPr>
            <w:r>
              <w:rPr>
                <w:rFonts w:hint="eastAsia" w:ascii="宋体" w:hAnsi="宋体"/>
                <w:sz w:val="24"/>
                <w:szCs w:val="24"/>
              </w:rPr>
              <w:t>6、具有CMM</w:t>
            </w:r>
            <w:r>
              <w:rPr>
                <w:rFonts w:ascii="宋体" w:hAnsi="宋体"/>
                <w:sz w:val="24"/>
                <w:szCs w:val="24"/>
              </w:rPr>
              <w:t>I</w:t>
            </w:r>
            <w:r>
              <w:rPr>
                <w:rFonts w:hint="eastAsia" w:ascii="宋体" w:hAnsi="宋体"/>
                <w:sz w:val="24"/>
                <w:szCs w:val="24"/>
              </w:rPr>
              <w:t>5认证</w:t>
            </w:r>
          </w:p>
          <w:p>
            <w:pPr>
              <w:snapToGrid w:val="0"/>
              <w:spacing w:line="360" w:lineRule="auto"/>
              <w:ind w:left="-2"/>
              <w:jc w:val="left"/>
              <w:rPr>
                <w:rFonts w:ascii="宋体" w:hAnsi="宋体" w:cs="Arial"/>
                <w:sz w:val="24"/>
                <w:szCs w:val="24"/>
              </w:rPr>
            </w:pPr>
            <w:r>
              <w:rPr>
                <w:rFonts w:hint="eastAsia" w:ascii="宋体" w:hAnsi="宋体"/>
                <w:sz w:val="24"/>
                <w:szCs w:val="24"/>
              </w:rPr>
              <w:t>以上各项中，每提供一个证书复印件得2分，满分1</w:t>
            </w:r>
            <w:r>
              <w:rPr>
                <w:rFonts w:ascii="宋体" w:hAnsi="宋体"/>
                <w:sz w:val="24"/>
                <w:szCs w:val="24"/>
              </w:rPr>
              <w:t>2</w:t>
            </w:r>
            <w:r>
              <w:rPr>
                <w:rFonts w:hint="eastAsia" w:ascii="宋体" w:hAnsi="宋体"/>
                <w:sz w:val="24"/>
                <w:szCs w:val="24"/>
              </w:rPr>
              <w:t>分，无则不得分。（提供有效期内证书复印件加盖公章）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859"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3</w:t>
            </w:r>
          </w:p>
        </w:tc>
        <w:tc>
          <w:tcPr>
            <w:tcW w:w="1276"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投标人信誉</w:t>
            </w:r>
          </w:p>
        </w:tc>
        <w:tc>
          <w:tcPr>
            <w:tcW w:w="1280" w:type="dxa"/>
            <w:shd w:val="clear" w:color="auto" w:fill="FFFFFF"/>
            <w:tcMar>
              <w:top w:w="150" w:type="dxa"/>
              <w:left w:w="150" w:type="dxa"/>
              <w:bottom w:w="150" w:type="dxa"/>
              <w:right w:w="150" w:type="dxa"/>
            </w:tcMar>
            <w:vAlign w:val="center"/>
          </w:tcPr>
          <w:p>
            <w:pPr>
              <w:snapToGrid w:val="0"/>
              <w:spacing w:line="360" w:lineRule="auto"/>
              <w:contextualSpacing/>
              <w:jc w:val="center"/>
              <w:rPr>
                <w:rFonts w:ascii="宋体" w:hAnsi="宋体"/>
                <w:sz w:val="24"/>
                <w:szCs w:val="24"/>
              </w:rPr>
            </w:pPr>
            <w:r>
              <w:rPr>
                <w:rFonts w:hint="eastAsia" w:ascii="宋体" w:hAnsi="宋体"/>
                <w:sz w:val="24"/>
                <w:szCs w:val="24"/>
              </w:rPr>
              <w:t>1</w:t>
            </w:r>
          </w:p>
        </w:tc>
        <w:tc>
          <w:tcPr>
            <w:tcW w:w="5245" w:type="dxa"/>
            <w:shd w:val="clear" w:color="auto" w:fill="FFFFFF"/>
            <w:tcMar>
              <w:top w:w="150" w:type="dxa"/>
              <w:left w:w="150" w:type="dxa"/>
              <w:bottom w:w="150" w:type="dxa"/>
              <w:right w:w="150" w:type="dxa"/>
            </w:tcMar>
            <w:vAlign w:val="center"/>
          </w:tcPr>
          <w:p>
            <w:pPr>
              <w:numPr>
                <w:ilvl w:val="0"/>
                <w:numId w:val="20"/>
              </w:numPr>
              <w:snapToGrid w:val="0"/>
              <w:spacing w:line="360" w:lineRule="auto"/>
              <w:contextualSpacing/>
              <w:rPr>
                <w:rFonts w:ascii="宋体" w:hAnsi="宋体"/>
                <w:sz w:val="24"/>
                <w:szCs w:val="24"/>
              </w:rPr>
            </w:pPr>
            <w:r>
              <w:rPr>
                <w:rFonts w:hint="eastAsia" w:ascii="宋体" w:hAnsi="宋体"/>
                <w:sz w:val="24"/>
                <w:szCs w:val="24"/>
              </w:rPr>
              <w:t>投标人具有企业信用等级证书（A</w:t>
            </w:r>
            <w:r>
              <w:rPr>
                <w:rFonts w:ascii="宋体" w:hAnsi="宋体"/>
                <w:sz w:val="24"/>
                <w:szCs w:val="24"/>
              </w:rPr>
              <w:t>AA</w:t>
            </w:r>
            <w:r>
              <w:rPr>
                <w:rFonts w:hint="eastAsia" w:ascii="宋体" w:hAnsi="宋体"/>
                <w:sz w:val="24"/>
                <w:szCs w:val="24"/>
              </w:rPr>
              <w:t>级）得1分，无则不得分。</w:t>
            </w:r>
          </w:p>
          <w:p>
            <w:pPr>
              <w:snapToGrid w:val="0"/>
              <w:spacing w:line="360" w:lineRule="auto"/>
              <w:contextualSpacing/>
              <w:rPr>
                <w:rFonts w:ascii="宋体" w:hAnsi="宋体"/>
                <w:sz w:val="24"/>
                <w:szCs w:val="24"/>
              </w:rPr>
            </w:pPr>
            <w:r>
              <w:rPr>
                <w:rFonts w:hint="eastAsia" w:ascii="宋体" w:hAnsi="宋体"/>
                <w:sz w:val="24"/>
                <w:szCs w:val="24"/>
              </w:rPr>
              <w:t>（提供有效期内证书复印件加盖公章）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2135" w:type="dxa"/>
            <w:gridSpan w:val="2"/>
            <w:shd w:val="clear" w:color="auto" w:fill="FFFFFF"/>
            <w:tcMar>
              <w:top w:w="150" w:type="dxa"/>
              <w:left w:w="150" w:type="dxa"/>
              <w:bottom w:w="150" w:type="dxa"/>
              <w:right w:w="150" w:type="dxa"/>
            </w:tcMar>
            <w:vAlign w:val="center"/>
          </w:tcPr>
          <w:p>
            <w:pPr>
              <w:spacing w:line="360" w:lineRule="auto"/>
              <w:jc w:val="center"/>
              <w:rPr>
                <w:rFonts w:ascii="宋体" w:hAnsi="宋体"/>
                <w:b/>
                <w:sz w:val="24"/>
                <w:szCs w:val="24"/>
              </w:rPr>
            </w:pPr>
            <w:r>
              <w:rPr>
                <w:rFonts w:hint="eastAsia" w:ascii="宋体" w:hAnsi="宋体"/>
                <w:b/>
                <w:sz w:val="24"/>
                <w:szCs w:val="24"/>
              </w:rPr>
              <w:t>合计</w:t>
            </w:r>
          </w:p>
        </w:tc>
        <w:tc>
          <w:tcPr>
            <w:tcW w:w="1280" w:type="dxa"/>
            <w:shd w:val="clear" w:color="auto" w:fill="FFFFFF"/>
            <w:tcMar>
              <w:top w:w="150" w:type="dxa"/>
              <w:left w:w="150" w:type="dxa"/>
              <w:bottom w:w="150" w:type="dxa"/>
              <w:right w:w="150" w:type="dxa"/>
            </w:tcMar>
            <w:vAlign w:val="center"/>
          </w:tcPr>
          <w:p>
            <w:pPr>
              <w:spacing w:line="360" w:lineRule="auto"/>
              <w:jc w:val="center"/>
              <w:rPr>
                <w:rFonts w:ascii="宋体" w:hAnsi="宋体"/>
                <w:b/>
                <w:sz w:val="24"/>
                <w:szCs w:val="24"/>
              </w:rPr>
            </w:pPr>
            <w:r>
              <w:rPr>
                <w:rFonts w:hint="eastAsia" w:ascii="宋体" w:hAnsi="宋体"/>
                <w:b/>
                <w:sz w:val="24"/>
                <w:szCs w:val="24"/>
              </w:rPr>
              <w:t>22</w:t>
            </w:r>
          </w:p>
        </w:tc>
        <w:tc>
          <w:tcPr>
            <w:tcW w:w="5245" w:type="dxa"/>
            <w:shd w:val="clear" w:color="auto" w:fill="FFFFFF"/>
            <w:tcMar>
              <w:top w:w="150" w:type="dxa"/>
              <w:left w:w="150" w:type="dxa"/>
              <w:bottom w:w="150" w:type="dxa"/>
              <w:right w:w="150" w:type="dxa"/>
            </w:tcMar>
            <w:vAlign w:val="center"/>
          </w:tcPr>
          <w:p>
            <w:pPr>
              <w:pStyle w:val="11"/>
              <w:widowControl/>
              <w:ind w:firstLine="0" w:firstLineChars="0"/>
              <w:rPr>
                <w:rFonts w:ascii="宋体" w:hAnsi="宋体" w:cs="Arial"/>
                <w:sz w:val="24"/>
                <w:szCs w:val="24"/>
              </w:rPr>
            </w:pPr>
          </w:p>
        </w:tc>
      </w:tr>
    </w:tbl>
    <w:p>
      <w:pPr>
        <w:rPr>
          <w:color w:val="000000"/>
        </w:rPr>
      </w:pPr>
    </w:p>
    <w:p>
      <w:pPr>
        <w:rPr>
          <w:color w:val="000000"/>
        </w:rPr>
      </w:pPr>
      <w:r>
        <w:rPr>
          <w:rFonts w:hint="eastAsia" w:ascii="宋体" w:hAnsi="宋体"/>
          <w:color w:val="000000"/>
          <w:szCs w:val="21"/>
        </w:rPr>
        <w:t xml:space="preserve">附表2： </w:t>
      </w:r>
    </w:p>
    <w:p>
      <w:pPr>
        <w:tabs>
          <w:tab w:val="left" w:pos="7725"/>
        </w:tabs>
        <w:snapToGrid w:val="0"/>
        <w:spacing w:line="360" w:lineRule="auto"/>
        <w:jc w:val="center"/>
        <w:rPr>
          <w:rFonts w:ascii="宋体" w:hAnsi="宋体"/>
          <w:b/>
          <w:bCs/>
          <w:color w:val="000000"/>
          <w:sz w:val="30"/>
          <w:szCs w:val="30"/>
          <w:u w:val="single"/>
        </w:rPr>
      </w:pPr>
      <w:r>
        <w:rPr>
          <w:rFonts w:hint="eastAsia" w:ascii="宋体" w:hAnsi="宋体"/>
          <w:b/>
          <w:bCs/>
          <w:color w:val="000000"/>
          <w:sz w:val="30"/>
          <w:szCs w:val="30"/>
          <w:u w:val="single"/>
        </w:rPr>
        <w:t>技术评分表</w:t>
      </w:r>
    </w:p>
    <w:tbl>
      <w:tblPr>
        <w:tblStyle w:val="4"/>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304"/>
        <w:gridCol w:w="1000"/>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1" w:type="dxa"/>
            <w:vAlign w:val="center"/>
          </w:tcPr>
          <w:p>
            <w:pPr>
              <w:spacing w:line="320" w:lineRule="exact"/>
              <w:jc w:val="center"/>
              <w:rPr>
                <w:rFonts w:ascii="宋体" w:hAnsi="宋体"/>
                <w:b/>
                <w:bCs/>
                <w:sz w:val="24"/>
                <w:szCs w:val="24"/>
              </w:rPr>
            </w:pPr>
            <w:r>
              <w:rPr>
                <w:rFonts w:hint="eastAsia" w:ascii="宋体" w:hAnsi="宋体"/>
                <w:b/>
                <w:bCs/>
                <w:sz w:val="24"/>
                <w:szCs w:val="24"/>
              </w:rPr>
              <w:t>序号</w:t>
            </w:r>
          </w:p>
        </w:tc>
        <w:tc>
          <w:tcPr>
            <w:tcW w:w="2304" w:type="dxa"/>
            <w:vAlign w:val="center"/>
          </w:tcPr>
          <w:p>
            <w:pPr>
              <w:spacing w:line="320" w:lineRule="exact"/>
              <w:jc w:val="center"/>
              <w:rPr>
                <w:rFonts w:ascii="宋体" w:hAnsi="宋体"/>
                <w:b/>
                <w:bCs/>
                <w:sz w:val="24"/>
                <w:szCs w:val="24"/>
              </w:rPr>
            </w:pPr>
            <w:r>
              <w:rPr>
                <w:rFonts w:hint="eastAsia" w:ascii="宋体" w:hAnsi="宋体"/>
                <w:b/>
                <w:bCs/>
                <w:sz w:val="24"/>
                <w:szCs w:val="24"/>
              </w:rPr>
              <w:t>评审内容</w:t>
            </w:r>
          </w:p>
        </w:tc>
        <w:tc>
          <w:tcPr>
            <w:tcW w:w="1000" w:type="dxa"/>
            <w:vAlign w:val="center"/>
          </w:tcPr>
          <w:p>
            <w:pPr>
              <w:spacing w:line="320" w:lineRule="exact"/>
              <w:jc w:val="center"/>
              <w:rPr>
                <w:rFonts w:ascii="宋体" w:hAnsi="宋体"/>
                <w:b/>
                <w:bCs/>
                <w:sz w:val="24"/>
                <w:szCs w:val="24"/>
              </w:rPr>
            </w:pPr>
            <w:r>
              <w:rPr>
                <w:rFonts w:hint="eastAsia" w:ascii="宋体" w:hAnsi="宋体"/>
                <w:b/>
                <w:bCs/>
                <w:sz w:val="24"/>
                <w:szCs w:val="24"/>
              </w:rPr>
              <w:t>分数</w:t>
            </w:r>
          </w:p>
        </w:tc>
        <w:tc>
          <w:tcPr>
            <w:tcW w:w="4661" w:type="dxa"/>
            <w:vAlign w:val="center"/>
          </w:tcPr>
          <w:p>
            <w:pPr>
              <w:spacing w:line="320" w:lineRule="exact"/>
              <w:jc w:val="center"/>
              <w:rPr>
                <w:rFonts w:ascii="宋体" w:hAnsi="宋体"/>
                <w:b/>
                <w:bCs/>
                <w:sz w:val="24"/>
                <w:szCs w:val="24"/>
              </w:rPr>
            </w:pPr>
            <w:r>
              <w:rPr>
                <w:rFonts w:hint="eastAsia" w:ascii="宋体" w:hAnsi="宋体"/>
                <w:b/>
                <w:bCs/>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11" w:type="dxa"/>
            <w:vAlign w:val="center"/>
          </w:tcPr>
          <w:p>
            <w:pPr>
              <w:snapToGrid w:val="0"/>
              <w:spacing w:line="360" w:lineRule="auto"/>
              <w:contextualSpacing/>
              <w:jc w:val="center"/>
              <w:rPr>
                <w:rFonts w:ascii="宋体" w:hAnsi="宋体"/>
                <w:sz w:val="24"/>
                <w:szCs w:val="24"/>
              </w:rPr>
            </w:pPr>
            <w:r>
              <w:rPr>
                <w:rFonts w:hint="eastAsia" w:ascii="宋体" w:hAnsi="宋体"/>
                <w:sz w:val="24"/>
                <w:szCs w:val="24"/>
              </w:rPr>
              <w:t>1</w:t>
            </w:r>
          </w:p>
        </w:tc>
        <w:tc>
          <w:tcPr>
            <w:tcW w:w="2304" w:type="dxa"/>
            <w:vAlign w:val="center"/>
          </w:tcPr>
          <w:p>
            <w:pPr>
              <w:snapToGrid w:val="0"/>
              <w:spacing w:line="360" w:lineRule="auto"/>
              <w:contextualSpacing/>
              <w:jc w:val="center"/>
              <w:rPr>
                <w:rFonts w:ascii="宋体" w:hAnsi="宋体"/>
                <w:sz w:val="24"/>
                <w:szCs w:val="24"/>
              </w:rPr>
            </w:pPr>
            <w:r>
              <w:rPr>
                <w:rFonts w:hint="eastAsia" w:ascii="宋体" w:hAnsi="宋体" w:cs="Arial"/>
                <w:sz w:val="24"/>
                <w:szCs w:val="24"/>
              </w:rPr>
              <w:t>“采购项目需求一览表”中标注“</w:t>
            </w:r>
            <w:r>
              <w:rPr>
                <w:rFonts w:hint="eastAsia" w:ascii="宋体" w:hAnsi="宋体"/>
                <w:sz w:val="24"/>
                <w:szCs w:val="24"/>
              </w:rPr>
              <w:t>▲</w:t>
            </w:r>
            <w:r>
              <w:rPr>
                <w:rFonts w:hint="eastAsia" w:ascii="宋体" w:hAnsi="宋体" w:cs="Arial"/>
                <w:sz w:val="24"/>
                <w:szCs w:val="24"/>
              </w:rPr>
              <w:t>”</w:t>
            </w:r>
            <w:r>
              <w:rPr>
                <w:rFonts w:hint="eastAsia" w:ascii="宋体" w:hAnsi="宋体" w:cs="宋体"/>
                <w:color w:val="000000"/>
                <w:sz w:val="24"/>
                <w:szCs w:val="24"/>
              </w:rPr>
              <w:t>部分</w:t>
            </w:r>
            <w:r>
              <w:rPr>
                <w:rFonts w:hint="eastAsia" w:ascii="宋体" w:hAnsi="宋体" w:cs="Arial"/>
                <w:sz w:val="24"/>
                <w:szCs w:val="24"/>
              </w:rPr>
              <w:t>规格参数响应情况</w:t>
            </w:r>
          </w:p>
        </w:tc>
        <w:tc>
          <w:tcPr>
            <w:tcW w:w="1000" w:type="dxa"/>
            <w:vAlign w:val="center"/>
          </w:tcPr>
          <w:p>
            <w:pPr>
              <w:snapToGrid w:val="0"/>
              <w:spacing w:line="360" w:lineRule="auto"/>
              <w:contextualSpacing/>
              <w:jc w:val="center"/>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 xml:space="preserve"> </w:t>
            </w:r>
          </w:p>
        </w:tc>
        <w:tc>
          <w:tcPr>
            <w:tcW w:w="4661" w:type="dxa"/>
            <w:vAlign w:val="center"/>
          </w:tcPr>
          <w:p>
            <w:pPr>
              <w:rPr>
                <w:rFonts w:ascii="宋体" w:hAnsi="宋体" w:cs="Arial"/>
                <w:sz w:val="24"/>
                <w:szCs w:val="24"/>
              </w:rPr>
            </w:pPr>
            <w:r>
              <w:rPr>
                <w:rFonts w:hint="eastAsia" w:ascii="宋体" w:hAnsi="宋体" w:cs="Arial"/>
                <w:sz w:val="24"/>
                <w:szCs w:val="24"/>
              </w:rPr>
              <w:t>标注“</w:t>
            </w:r>
            <w:r>
              <w:rPr>
                <w:rFonts w:hint="eastAsia" w:ascii="宋体" w:hAnsi="宋体"/>
                <w:sz w:val="24"/>
                <w:szCs w:val="24"/>
              </w:rPr>
              <w:t>▲</w:t>
            </w:r>
            <w:r>
              <w:rPr>
                <w:rFonts w:hint="eastAsia" w:ascii="宋体" w:hAnsi="宋体" w:cs="Arial"/>
                <w:sz w:val="24"/>
                <w:szCs w:val="24"/>
              </w:rPr>
              <w:t>”</w:t>
            </w:r>
            <w:r>
              <w:rPr>
                <w:rFonts w:hint="eastAsia" w:ascii="宋体" w:hAnsi="宋体" w:cs="宋体"/>
                <w:color w:val="000000"/>
                <w:sz w:val="24"/>
                <w:szCs w:val="24"/>
              </w:rPr>
              <w:t>部分</w:t>
            </w:r>
            <w:r>
              <w:rPr>
                <w:rFonts w:hint="eastAsia" w:ascii="宋体" w:hAnsi="宋体" w:cs="Arial"/>
                <w:sz w:val="24"/>
                <w:szCs w:val="24"/>
              </w:rPr>
              <w:t>规格参数指标完全满足或优于的得2分，满分22分，当出现负偏离或无响应时，每一项扣2分。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11" w:type="dxa"/>
            <w:vAlign w:val="center"/>
          </w:tcPr>
          <w:p>
            <w:pPr>
              <w:jc w:val="center"/>
              <w:rPr>
                <w:rFonts w:ascii="宋体" w:hAnsi="宋体"/>
                <w:sz w:val="24"/>
                <w:szCs w:val="24"/>
              </w:rPr>
            </w:pPr>
            <w:r>
              <w:rPr>
                <w:rFonts w:hint="eastAsia" w:ascii="宋体" w:hAnsi="宋体"/>
                <w:sz w:val="24"/>
                <w:szCs w:val="24"/>
              </w:rPr>
              <w:t>2</w:t>
            </w:r>
          </w:p>
        </w:tc>
        <w:tc>
          <w:tcPr>
            <w:tcW w:w="2304" w:type="dxa"/>
            <w:vAlign w:val="center"/>
          </w:tcPr>
          <w:p>
            <w:pPr>
              <w:jc w:val="center"/>
              <w:rPr>
                <w:rFonts w:ascii="宋体" w:hAnsi="宋体"/>
                <w:sz w:val="24"/>
                <w:szCs w:val="24"/>
              </w:rPr>
            </w:pPr>
            <w:r>
              <w:rPr>
                <w:rFonts w:hint="eastAsia" w:ascii="宋体" w:hAnsi="宋体" w:cs="Arial"/>
                <w:sz w:val="24"/>
                <w:szCs w:val="24"/>
              </w:rPr>
              <w:t>“采购项目需求一览表”中未标注“</w:t>
            </w:r>
            <w:r>
              <w:rPr>
                <w:rFonts w:hint="eastAsia" w:ascii="宋体" w:hAnsi="宋体"/>
                <w:sz w:val="24"/>
                <w:szCs w:val="24"/>
              </w:rPr>
              <w:t>▲</w:t>
            </w:r>
            <w:r>
              <w:rPr>
                <w:rFonts w:hint="eastAsia" w:ascii="宋体" w:hAnsi="宋体" w:cs="Arial"/>
                <w:sz w:val="24"/>
                <w:szCs w:val="24"/>
              </w:rPr>
              <w:t>”</w:t>
            </w:r>
            <w:r>
              <w:rPr>
                <w:rFonts w:hint="eastAsia" w:ascii="宋体" w:hAnsi="宋体" w:cs="宋体"/>
                <w:color w:val="000000"/>
                <w:sz w:val="24"/>
                <w:szCs w:val="24"/>
              </w:rPr>
              <w:t>部分</w:t>
            </w:r>
            <w:r>
              <w:rPr>
                <w:rFonts w:hint="eastAsia" w:ascii="宋体" w:hAnsi="宋体" w:cs="Arial"/>
                <w:sz w:val="24"/>
                <w:szCs w:val="24"/>
              </w:rPr>
              <w:t>规格参数响应情况</w:t>
            </w:r>
          </w:p>
        </w:tc>
        <w:tc>
          <w:tcPr>
            <w:tcW w:w="1000" w:type="dxa"/>
            <w:vAlign w:val="center"/>
          </w:tcPr>
          <w:p>
            <w:pPr>
              <w:jc w:val="center"/>
              <w:rPr>
                <w:rFonts w:ascii="宋体" w:hAnsi="宋体"/>
                <w:sz w:val="24"/>
                <w:szCs w:val="24"/>
              </w:rPr>
            </w:pPr>
            <w:r>
              <w:rPr>
                <w:rFonts w:ascii="宋体" w:hAnsi="宋体"/>
                <w:sz w:val="24"/>
                <w:szCs w:val="24"/>
              </w:rPr>
              <w:t>2</w:t>
            </w:r>
            <w:r>
              <w:rPr>
                <w:rFonts w:hint="eastAsia" w:ascii="宋体" w:hAnsi="宋体"/>
                <w:sz w:val="24"/>
                <w:szCs w:val="24"/>
              </w:rPr>
              <w:t>6</w:t>
            </w:r>
          </w:p>
        </w:tc>
        <w:tc>
          <w:tcPr>
            <w:tcW w:w="4661" w:type="dxa"/>
            <w:vAlign w:val="center"/>
          </w:tcPr>
          <w:p>
            <w:pPr>
              <w:rPr>
                <w:rFonts w:ascii="宋体" w:hAnsi="宋体" w:cs="Arial"/>
                <w:sz w:val="24"/>
                <w:szCs w:val="24"/>
              </w:rPr>
            </w:pPr>
            <w:r>
              <w:rPr>
                <w:rFonts w:hint="eastAsia" w:ascii="宋体" w:hAnsi="宋体" w:cs="Arial"/>
                <w:sz w:val="24"/>
                <w:szCs w:val="24"/>
              </w:rPr>
              <w:t>未标注“</w:t>
            </w:r>
            <w:r>
              <w:rPr>
                <w:rFonts w:hint="eastAsia" w:ascii="宋体" w:hAnsi="宋体"/>
                <w:sz w:val="24"/>
                <w:szCs w:val="24"/>
              </w:rPr>
              <w:t>▲</w:t>
            </w:r>
            <w:r>
              <w:rPr>
                <w:rFonts w:hint="eastAsia" w:ascii="宋体" w:hAnsi="宋体" w:cs="Arial"/>
                <w:sz w:val="24"/>
                <w:szCs w:val="24"/>
              </w:rPr>
              <w:t>”</w:t>
            </w:r>
            <w:r>
              <w:rPr>
                <w:rFonts w:hint="eastAsia" w:ascii="宋体" w:hAnsi="宋体" w:cs="宋体"/>
                <w:color w:val="000000"/>
                <w:sz w:val="24"/>
                <w:szCs w:val="24"/>
              </w:rPr>
              <w:t>部分</w:t>
            </w:r>
            <w:r>
              <w:rPr>
                <w:rFonts w:hint="eastAsia" w:ascii="宋体" w:hAnsi="宋体" w:cs="Arial"/>
                <w:sz w:val="24"/>
                <w:szCs w:val="24"/>
              </w:rPr>
              <w:t>规格参数指标完全满足或优于的得0.5分，满分26分，当出现负偏离或无响应时，每一项扣0.5分。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115" w:type="dxa"/>
            <w:gridSpan w:val="2"/>
            <w:vAlign w:val="center"/>
          </w:tcPr>
          <w:p>
            <w:pPr>
              <w:jc w:val="center"/>
              <w:rPr>
                <w:rFonts w:ascii="宋体" w:hAnsi="宋体"/>
                <w:b/>
                <w:bCs/>
                <w:sz w:val="24"/>
                <w:szCs w:val="24"/>
              </w:rPr>
            </w:pPr>
            <w:r>
              <w:rPr>
                <w:rFonts w:hint="eastAsia" w:ascii="宋体" w:hAnsi="宋体"/>
                <w:b/>
                <w:bCs/>
                <w:sz w:val="24"/>
                <w:szCs w:val="24"/>
              </w:rPr>
              <w:t>合计</w:t>
            </w:r>
          </w:p>
        </w:tc>
        <w:tc>
          <w:tcPr>
            <w:tcW w:w="1000" w:type="dxa"/>
            <w:vAlign w:val="center"/>
          </w:tcPr>
          <w:p>
            <w:pPr>
              <w:jc w:val="center"/>
              <w:rPr>
                <w:rFonts w:ascii="宋体" w:hAnsi="宋体"/>
                <w:b/>
                <w:bCs/>
                <w:sz w:val="24"/>
                <w:szCs w:val="24"/>
              </w:rPr>
            </w:pPr>
            <w:r>
              <w:rPr>
                <w:rFonts w:hint="eastAsia" w:ascii="宋体" w:hAnsi="宋体"/>
                <w:b/>
                <w:bCs/>
                <w:sz w:val="24"/>
                <w:szCs w:val="24"/>
              </w:rPr>
              <w:t>48</w:t>
            </w:r>
          </w:p>
        </w:tc>
        <w:tc>
          <w:tcPr>
            <w:tcW w:w="4661" w:type="dxa"/>
            <w:vAlign w:val="center"/>
          </w:tcPr>
          <w:p>
            <w:pPr>
              <w:rPr>
                <w:rFonts w:ascii="宋体" w:hAnsi="宋体" w:cs="宋体"/>
                <w:bCs/>
                <w:color w:val="000000"/>
                <w:sz w:val="24"/>
                <w:szCs w:val="24"/>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4D9"/>
    <w:multiLevelType w:val="multilevel"/>
    <w:tmpl w:val="017054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445482"/>
    <w:multiLevelType w:val="multilevel"/>
    <w:tmpl w:val="0844548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japaneseCounting"/>
      <w:lvlText w:val="%6、"/>
      <w:lvlJc w:val="left"/>
      <w:pPr>
        <w:tabs>
          <w:tab w:val="left" w:pos="2580"/>
        </w:tabs>
        <w:ind w:left="2580" w:hanging="480"/>
      </w:pPr>
      <w:rPr>
        <w:rFonts w:hint="eastAsia" w:ascii="Arial" w:hAnsi="Arial"/>
        <w:sz w:val="21"/>
      </w:rPr>
    </w:lvl>
    <w:lvl w:ilvl="6" w:tentative="0">
      <w:start w:val="1"/>
      <w:numFmt w:val="decimal"/>
      <w:lvlText w:val="%7．"/>
      <w:lvlJc w:val="left"/>
      <w:pPr>
        <w:tabs>
          <w:tab w:val="left" w:pos="3240"/>
        </w:tabs>
        <w:ind w:left="3240" w:hanging="720"/>
      </w:pPr>
      <w:rPr>
        <w:rFonts w:hint="eastAsia" w:ascii="宋体" w:hAnsi="宋体"/>
        <w:sz w:val="21"/>
      </w:rPr>
    </w:lvl>
    <w:lvl w:ilvl="7" w:tentative="0">
      <w:start w:val="1"/>
      <w:numFmt w:val="chineseCountingThousand"/>
      <w:lvlText w:val="%8、"/>
      <w:lvlJc w:val="left"/>
      <w:pPr>
        <w:tabs>
          <w:tab w:val="left" w:pos="3360"/>
        </w:tabs>
        <w:ind w:left="3360" w:hanging="420"/>
      </w:pPr>
      <w:rPr>
        <w:rFonts w:hint="eastAsia"/>
      </w:rPr>
    </w:lvl>
    <w:lvl w:ilvl="8" w:tentative="0">
      <w:start w:val="1"/>
      <w:numFmt w:val="decimal"/>
      <w:lvlText w:val="%9."/>
      <w:lvlJc w:val="left"/>
      <w:pPr>
        <w:tabs>
          <w:tab w:val="left" w:pos="3780"/>
        </w:tabs>
        <w:ind w:left="3780" w:hanging="420"/>
      </w:pPr>
      <w:rPr>
        <w:rFonts w:hint="eastAsia"/>
      </w:rPr>
    </w:lvl>
  </w:abstractNum>
  <w:abstractNum w:abstractNumId="2">
    <w:nsid w:val="0F3F281D"/>
    <w:multiLevelType w:val="multilevel"/>
    <w:tmpl w:val="0F3F28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066093"/>
    <w:multiLevelType w:val="multilevel"/>
    <w:tmpl w:val="180660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8C5183"/>
    <w:multiLevelType w:val="multilevel"/>
    <w:tmpl w:val="2B8C51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1F82895"/>
    <w:multiLevelType w:val="multilevel"/>
    <w:tmpl w:val="31F828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A756CA"/>
    <w:multiLevelType w:val="multilevel"/>
    <w:tmpl w:val="3EA756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2E4ABD"/>
    <w:multiLevelType w:val="multilevel"/>
    <w:tmpl w:val="412E4A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237F0F"/>
    <w:multiLevelType w:val="multilevel"/>
    <w:tmpl w:val="42237F0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A14B9E"/>
    <w:multiLevelType w:val="multilevel"/>
    <w:tmpl w:val="46A14B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2D4CB0"/>
    <w:multiLevelType w:val="multilevel"/>
    <w:tmpl w:val="4B2D4C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866185D"/>
    <w:multiLevelType w:val="multilevel"/>
    <w:tmpl w:val="586618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B244CBB"/>
    <w:multiLevelType w:val="multilevel"/>
    <w:tmpl w:val="5B244C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F60A39"/>
    <w:multiLevelType w:val="multilevel"/>
    <w:tmpl w:val="67F60A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AD70BE"/>
    <w:multiLevelType w:val="multilevel"/>
    <w:tmpl w:val="68AD70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AB15E40"/>
    <w:multiLevelType w:val="multilevel"/>
    <w:tmpl w:val="6AB15E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E4E66B3"/>
    <w:multiLevelType w:val="multilevel"/>
    <w:tmpl w:val="6E4E66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E99447E"/>
    <w:multiLevelType w:val="multilevel"/>
    <w:tmpl w:val="6E9944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F10155D"/>
    <w:multiLevelType w:val="multilevel"/>
    <w:tmpl w:val="6F1015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99A5AD2"/>
    <w:multiLevelType w:val="multilevel"/>
    <w:tmpl w:val="799A5AD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japaneseCounting"/>
      <w:lvlText w:val="%6、"/>
      <w:lvlJc w:val="left"/>
      <w:pPr>
        <w:tabs>
          <w:tab w:val="left" w:pos="2580"/>
        </w:tabs>
        <w:ind w:left="2580" w:hanging="480"/>
      </w:pPr>
      <w:rPr>
        <w:rFonts w:hint="eastAsia" w:ascii="Arial" w:hAnsi="Arial"/>
        <w:sz w:val="21"/>
      </w:rPr>
    </w:lvl>
    <w:lvl w:ilvl="6" w:tentative="0">
      <w:start w:val="1"/>
      <w:numFmt w:val="decimal"/>
      <w:lvlText w:val="%7．"/>
      <w:lvlJc w:val="left"/>
      <w:pPr>
        <w:tabs>
          <w:tab w:val="left" w:pos="3240"/>
        </w:tabs>
        <w:ind w:left="3240" w:hanging="720"/>
      </w:pPr>
      <w:rPr>
        <w:rFonts w:hint="eastAsia" w:ascii="宋体" w:hAnsi="宋体"/>
        <w:sz w:val="21"/>
      </w:rPr>
    </w:lvl>
    <w:lvl w:ilvl="7" w:tentative="0">
      <w:start w:val="1"/>
      <w:numFmt w:val="chineseCountingThousand"/>
      <w:lvlText w:val="%8、"/>
      <w:lvlJc w:val="left"/>
      <w:pPr>
        <w:tabs>
          <w:tab w:val="left" w:pos="3360"/>
        </w:tabs>
        <w:ind w:left="3360" w:hanging="420"/>
      </w:pPr>
      <w:rPr>
        <w:rFonts w:hint="eastAsia"/>
      </w:rPr>
    </w:lvl>
    <w:lvl w:ilvl="8" w:tentative="0">
      <w:start w:val="1"/>
      <w:numFmt w:val="decimal"/>
      <w:lvlText w:val="%9."/>
      <w:lvlJc w:val="left"/>
      <w:pPr>
        <w:tabs>
          <w:tab w:val="left" w:pos="3780"/>
        </w:tabs>
        <w:ind w:left="3780" w:hanging="420"/>
      </w:pPr>
      <w:rPr>
        <w:rFonts w:hint="eastAsia"/>
      </w:rPr>
    </w:lvl>
  </w:abstractNum>
  <w:num w:numId="1">
    <w:abstractNumId w:val="8"/>
  </w:num>
  <w:num w:numId="2">
    <w:abstractNumId w:val="6"/>
  </w:num>
  <w:num w:numId="3">
    <w:abstractNumId w:val="1"/>
  </w:num>
  <w:num w:numId="4">
    <w:abstractNumId w:val="19"/>
  </w:num>
  <w:num w:numId="5">
    <w:abstractNumId w:val="15"/>
  </w:num>
  <w:num w:numId="6">
    <w:abstractNumId w:val="10"/>
  </w:num>
  <w:num w:numId="7">
    <w:abstractNumId w:val="4"/>
  </w:num>
  <w:num w:numId="8">
    <w:abstractNumId w:val="13"/>
  </w:num>
  <w:num w:numId="9">
    <w:abstractNumId w:val="16"/>
  </w:num>
  <w:num w:numId="10">
    <w:abstractNumId w:val="0"/>
  </w:num>
  <w:num w:numId="11">
    <w:abstractNumId w:val="5"/>
  </w:num>
  <w:num w:numId="12">
    <w:abstractNumId w:val="2"/>
  </w:num>
  <w:num w:numId="13">
    <w:abstractNumId w:val="9"/>
  </w:num>
  <w:num w:numId="14">
    <w:abstractNumId w:val="18"/>
  </w:num>
  <w:num w:numId="15">
    <w:abstractNumId w:val="14"/>
  </w:num>
  <w:num w:numId="16">
    <w:abstractNumId w:val="11"/>
  </w:num>
  <w:num w:numId="17">
    <w:abstractNumId w:val="7"/>
  </w:num>
  <w:num w:numId="18">
    <w:abstractNumId w:val="3"/>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68"/>
    <w:rsid w:val="000039E4"/>
    <w:rsid w:val="00024D84"/>
    <w:rsid w:val="00043B53"/>
    <w:rsid w:val="00061274"/>
    <w:rsid w:val="000633F9"/>
    <w:rsid w:val="0007381E"/>
    <w:rsid w:val="000B037E"/>
    <w:rsid w:val="000C37DE"/>
    <w:rsid w:val="000C7628"/>
    <w:rsid w:val="000F0AAF"/>
    <w:rsid w:val="00117BCA"/>
    <w:rsid w:val="00126223"/>
    <w:rsid w:val="00126E41"/>
    <w:rsid w:val="001273FB"/>
    <w:rsid w:val="00127C55"/>
    <w:rsid w:val="00141A23"/>
    <w:rsid w:val="0015487E"/>
    <w:rsid w:val="00155898"/>
    <w:rsid w:val="00175B57"/>
    <w:rsid w:val="0017799A"/>
    <w:rsid w:val="00180362"/>
    <w:rsid w:val="0018371E"/>
    <w:rsid w:val="0019620D"/>
    <w:rsid w:val="001A718A"/>
    <w:rsid w:val="001B5C27"/>
    <w:rsid w:val="001C0D25"/>
    <w:rsid w:val="001C124D"/>
    <w:rsid w:val="001E00F3"/>
    <w:rsid w:val="001E08F9"/>
    <w:rsid w:val="00202745"/>
    <w:rsid w:val="00210C31"/>
    <w:rsid w:val="002143D9"/>
    <w:rsid w:val="00222061"/>
    <w:rsid w:val="00222110"/>
    <w:rsid w:val="0023170E"/>
    <w:rsid w:val="00236C29"/>
    <w:rsid w:val="002479AF"/>
    <w:rsid w:val="00247C8D"/>
    <w:rsid w:val="002863FF"/>
    <w:rsid w:val="002D1FC1"/>
    <w:rsid w:val="002D507D"/>
    <w:rsid w:val="002E175A"/>
    <w:rsid w:val="002E30BE"/>
    <w:rsid w:val="003073B6"/>
    <w:rsid w:val="00315592"/>
    <w:rsid w:val="00326C2B"/>
    <w:rsid w:val="00353BCD"/>
    <w:rsid w:val="00355E04"/>
    <w:rsid w:val="00361B20"/>
    <w:rsid w:val="0038343E"/>
    <w:rsid w:val="00385083"/>
    <w:rsid w:val="00394E09"/>
    <w:rsid w:val="003B6B3E"/>
    <w:rsid w:val="003E08B3"/>
    <w:rsid w:val="003F50E5"/>
    <w:rsid w:val="00405FC2"/>
    <w:rsid w:val="004558CB"/>
    <w:rsid w:val="00484F9D"/>
    <w:rsid w:val="004959EF"/>
    <w:rsid w:val="004A3B34"/>
    <w:rsid w:val="004B2F03"/>
    <w:rsid w:val="004C2590"/>
    <w:rsid w:val="004D5987"/>
    <w:rsid w:val="0054020F"/>
    <w:rsid w:val="0055419A"/>
    <w:rsid w:val="005846C1"/>
    <w:rsid w:val="005A3D24"/>
    <w:rsid w:val="005B33DF"/>
    <w:rsid w:val="005C5643"/>
    <w:rsid w:val="00605737"/>
    <w:rsid w:val="006150A5"/>
    <w:rsid w:val="00637AB2"/>
    <w:rsid w:val="00640E79"/>
    <w:rsid w:val="00642D66"/>
    <w:rsid w:val="00643FA8"/>
    <w:rsid w:val="00645BFE"/>
    <w:rsid w:val="00676206"/>
    <w:rsid w:val="00676E22"/>
    <w:rsid w:val="006A0DB7"/>
    <w:rsid w:val="006A56CE"/>
    <w:rsid w:val="006A5762"/>
    <w:rsid w:val="006E166B"/>
    <w:rsid w:val="006E2C79"/>
    <w:rsid w:val="006E7EC1"/>
    <w:rsid w:val="00710213"/>
    <w:rsid w:val="00714B64"/>
    <w:rsid w:val="00753D72"/>
    <w:rsid w:val="007546E4"/>
    <w:rsid w:val="00755BAE"/>
    <w:rsid w:val="00794786"/>
    <w:rsid w:val="00796869"/>
    <w:rsid w:val="007B3460"/>
    <w:rsid w:val="007B5046"/>
    <w:rsid w:val="007E29B9"/>
    <w:rsid w:val="007E2C68"/>
    <w:rsid w:val="007F0E22"/>
    <w:rsid w:val="007F2551"/>
    <w:rsid w:val="007F6823"/>
    <w:rsid w:val="00810A09"/>
    <w:rsid w:val="00812121"/>
    <w:rsid w:val="00834C78"/>
    <w:rsid w:val="00886B2D"/>
    <w:rsid w:val="008E5750"/>
    <w:rsid w:val="008F13FC"/>
    <w:rsid w:val="008F77BA"/>
    <w:rsid w:val="00900FC0"/>
    <w:rsid w:val="00942F7D"/>
    <w:rsid w:val="00955468"/>
    <w:rsid w:val="00966EA5"/>
    <w:rsid w:val="00970F63"/>
    <w:rsid w:val="009758C6"/>
    <w:rsid w:val="00985666"/>
    <w:rsid w:val="0099173D"/>
    <w:rsid w:val="0099187B"/>
    <w:rsid w:val="00992C12"/>
    <w:rsid w:val="009A7793"/>
    <w:rsid w:val="009B5832"/>
    <w:rsid w:val="009C6129"/>
    <w:rsid w:val="009D01D4"/>
    <w:rsid w:val="009D40B9"/>
    <w:rsid w:val="009F2F34"/>
    <w:rsid w:val="009F3051"/>
    <w:rsid w:val="00A039ED"/>
    <w:rsid w:val="00A25F43"/>
    <w:rsid w:val="00A426E2"/>
    <w:rsid w:val="00A43332"/>
    <w:rsid w:val="00A476D7"/>
    <w:rsid w:val="00A604E5"/>
    <w:rsid w:val="00A700CC"/>
    <w:rsid w:val="00A714C4"/>
    <w:rsid w:val="00AD0D8C"/>
    <w:rsid w:val="00B01CAC"/>
    <w:rsid w:val="00B15E8B"/>
    <w:rsid w:val="00B17BE0"/>
    <w:rsid w:val="00B31330"/>
    <w:rsid w:val="00B91957"/>
    <w:rsid w:val="00BA0B2C"/>
    <w:rsid w:val="00BB09AF"/>
    <w:rsid w:val="00BC3250"/>
    <w:rsid w:val="00BE260D"/>
    <w:rsid w:val="00C053A9"/>
    <w:rsid w:val="00C274F0"/>
    <w:rsid w:val="00C418DC"/>
    <w:rsid w:val="00C45546"/>
    <w:rsid w:val="00C50476"/>
    <w:rsid w:val="00C50ED2"/>
    <w:rsid w:val="00C61680"/>
    <w:rsid w:val="00C65EDC"/>
    <w:rsid w:val="00CA29CA"/>
    <w:rsid w:val="00CC14B0"/>
    <w:rsid w:val="00CC61DB"/>
    <w:rsid w:val="00CD493E"/>
    <w:rsid w:val="00CE63F0"/>
    <w:rsid w:val="00CF6EA3"/>
    <w:rsid w:val="00D067E9"/>
    <w:rsid w:val="00D06A8E"/>
    <w:rsid w:val="00D32481"/>
    <w:rsid w:val="00D34194"/>
    <w:rsid w:val="00D45719"/>
    <w:rsid w:val="00D50CB4"/>
    <w:rsid w:val="00D612F3"/>
    <w:rsid w:val="00D66652"/>
    <w:rsid w:val="00D75774"/>
    <w:rsid w:val="00D85249"/>
    <w:rsid w:val="00DB48FF"/>
    <w:rsid w:val="00DD7605"/>
    <w:rsid w:val="00DE1EF0"/>
    <w:rsid w:val="00DE54B5"/>
    <w:rsid w:val="00E012F7"/>
    <w:rsid w:val="00E06515"/>
    <w:rsid w:val="00E25877"/>
    <w:rsid w:val="00E26395"/>
    <w:rsid w:val="00E51EEB"/>
    <w:rsid w:val="00E9547E"/>
    <w:rsid w:val="00EA78DA"/>
    <w:rsid w:val="00EB2288"/>
    <w:rsid w:val="00EB55DB"/>
    <w:rsid w:val="00ED4ECA"/>
    <w:rsid w:val="00EF42AD"/>
    <w:rsid w:val="00F36DA0"/>
    <w:rsid w:val="00F43DFC"/>
    <w:rsid w:val="00F72BD3"/>
    <w:rsid w:val="00F764AE"/>
    <w:rsid w:val="00F915C4"/>
    <w:rsid w:val="00FB0554"/>
    <w:rsid w:val="00FC4080"/>
    <w:rsid w:val="00FC48CB"/>
    <w:rsid w:val="00FD1601"/>
    <w:rsid w:val="00FE7735"/>
    <w:rsid w:val="00FF2A0C"/>
    <w:rsid w:val="00FF64B9"/>
    <w:rsid w:val="65D1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_Style 7"/>
    <w:basedOn w:val="1"/>
    <w:next w:val="9"/>
    <w:link w:val="10"/>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列出段落 Char"/>
    <w:link w:val="8"/>
    <w:qFormat/>
    <w:uiPriority w:val="34"/>
    <w:rPr>
      <w:kern w:val="2"/>
      <w:sz w:val="21"/>
      <w:szCs w:val="22"/>
    </w:rPr>
  </w:style>
  <w:style w:type="paragraph" w:customStyle="1" w:styleId="11">
    <w:name w:val="符号列表"/>
    <w:basedOn w:val="1"/>
    <w:next w:val="9"/>
    <w:qFormat/>
    <w:uiPriority w:val="34"/>
    <w:pPr>
      <w:spacing w:line="360" w:lineRule="auto"/>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867</Words>
  <Characters>4942</Characters>
  <Lines>41</Lines>
  <Paragraphs>11</Paragraphs>
  <TotalTime>18</TotalTime>
  <ScaleCrop>false</ScaleCrop>
  <LinksUpToDate>false</LinksUpToDate>
  <CharactersWithSpaces>5798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2019-09-30T01:22:00Z</dcterms:created>
  <dc:creator>宁爱武</dc:creator>
  <cp:lastModifiedBy>Shxxlee</cp:lastModifiedBy>
  <dcterms:modified xsi:type="dcterms:W3CDTF">2019-11-29T07:07:11Z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