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E63" w:rsidRPr="00983E63" w:rsidRDefault="00983E63" w:rsidP="00983E63">
      <w:pPr>
        <w:widowControl/>
        <w:spacing w:line="560" w:lineRule="exact"/>
        <w:ind w:right="120"/>
        <w:rPr>
          <w:rFonts w:ascii="黑体" w:eastAsia="黑体" w:hAnsi="方正小标宋简体" w:cs="方正小标宋简体"/>
          <w:spacing w:val="15"/>
          <w:kern w:val="0"/>
          <w:sz w:val="32"/>
          <w:szCs w:val="32"/>
        </w:rPr>
      </w:pPr>
      <w:r w:rsidRPr="00983E63">
        <w:rPr>
          <w:rFonts w:ascii="黑体" w:eastAsia="黑体" w:hAnsi="方正小标宋简体" w:cs="方正小标宋简体" w:hint="eastAsia"/>
          <w:spacing w:val="15"/>
          <w:kern w:val="0"/>
          <w:sz w:val="32"/>
          <w:szCs w:val="32"/>
        </w:rPr>
        <w:t>附件：</w:t>
      </w:r>
    </w:p>
    <w:p w:rsidR="00A06E67" w:rsidRDefault="006B357F">
      <w:pPr>
        <w:widowControl/>
        <w:spacing w:line="560" w:lineRule="exact"/>
        <w:ind w:right="120"/>
        <w:jc w:val="center"/>
        <w:rPr>
          <w:rFonts w:ascii="方正小标宋简体" w:eastAsia="方正小标宋简体" w:hAnsi="方正小标宋简体" w:cs="方正小标宋简体"/>
          <w:spacing w:val="15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15"/>
          <w:kern w:val="0"/>
          <w:sz w:val="44"/>
          <w:szCs w:val="44"/>
        </w:rPr>
        <w:t>学</w:t>
      </w:r>
      <w:r w:rsidR="00831D8F">
        <w:rPr>
          <w:rFonts w:ascii="方正小标宋简体" w:eastAsia="方正小标宋简体" w:hAnsi="方正小标宋简体" w:cs="方正小标宋简体" w:hint="eastAsia"/>
          <w:spacing w:val="15"/>
          <w:kern w:val="0"/>
          <w:sz w:val="44"/>
          <w:szCs w:val="44"/>
        </w:rPr>
        <w:t>生</w:t>
      </w:r>
      <w:r w:rsidR="0080664E">
        <w:rPr>
          <w:rFonts w:ascii="方正小标宋简体" w:eastAsia="方正小标宋简体" w:hAnsi="方正小标宋简体" w:cs="方正小标宋简体" w:hint="eastAsia"/>
          <w:spacing w:val="15"/>
          <w:kern w:val="0"/>
          <w:sz w:val="44"/>
          <w:szCs w:val="44"/>
        </w:rPr>
        <w:t>实习责任险用户需求书</w:t>
      </w:r>
    </w:p>
    <w:p w:rsidR="00A06E67" w:rsidRDefault="00A06E67">
      <w:pPr>
        <w:widowControl/>
        <w:spacing w:line="560" w:lineRule="exact"/>
        <w:jc w:val="left"/>
        <w:rPr>
          <w:rFonts w:ascii="仿宋_GB2312" w:eastAsia="仿宋_GB2312" w:hAnsi="仿宋_GB2312" w:cs="仿宋_GB2312"/>
          <w:color w:val="000000"/>
          <w:spacing w:val="15"/>
          <w:kern w:val="0"/>
          <w:sz w:val="32"/>
          <w:szCs w:val="32"/>
        </w:rPr>
      </w:pPr>
    </w:p>
    <w:p w:rsidR="00A06E67" w:rsidRDefault="0080664E" w:rsidP="00412B0B">
      <w:pPr>
        <w:widowControl/>
        <w:spacing w:line="560" w:lineRule="exact"/>
        <w:ind w:firstLineChars="196" w:firstLine="688"/>
        <w:jc w:val="left"/>
        <w:rPr>
          <w:rFonts w:ascii="仿宋_GB2312" w:eastAsia="仿宋_GB2312" w:hAnsi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pacing w:val="15"/>
          <w:kern w:val="0"/>
          <w:sz w:val="32"/>
          <w:szCs w:val="32"/>
        </w:rPr>
        <w:t>一、项目名称</w:t>
      </w:r>
      <w:r>
        <w:rPr>
          <w:rFonts w:ascii="仿宋_GB2312" w:eastAsia="仿宋_GB2312" w:hAnsi="仿宋_GB2312" w:cs="仿宋_GB2312" w:hint="eastAsia"/>
          <w:color w:val="000000"/>
          <w:spacing w:val="15"/>
          <w:kern w:val="0"/>
          <w:sz w:val="32"/>
          <w:szCs w:val="32"/>
        </w:rPr>
        <w:t>：学生实习责任险</w:t>
      </w:r>
    </w:p>
    <w:p w:rsidR="00A06E67" w:rsidRDefault="0080664E" w:rsidP="00412B0B">
      <w:pPr>
        <w:widowControl/>
        <w:spacing w:line="560" w:lineRule="exact"/>
        <w:ind w:firstLineChars="196" w:firstLine="688"/>
        <w:jc w:val="left"/>
        <w:rPr>
          <w:rFonts w:ascii="仿宋_GB2312" w:eastAsia="仿宋_GB2312" w:hAnsi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pacing w:val="15"/>
          <w:kern w:val="0"/>
          <w:sz w:val="32"/>
          <w:szCs w:val="32"/>
        </w:rPr>
        <w:t>二、项目金额</w:t>
      </w:r>
      <w:r>
        <w:rPr>
          <w:rFonts w:ascii="仿宋_GB2312" w:eastAsia="仿宋_GB2312" w:hAnsi="仿宋_GB2312" w:cs="仿宋_GB2312" w:hint="eastAsia"/>
          <w:color w:val="000000"/>
          <w:spacing w:val="15"/>
          <w:kern w:val="0"/>
          <w:sz w:val="32"/>
          <w:szCs w:val="32"/>
        </w:rPr>
        <w:t>：</w:t>
      </w:r>
      <w:r w:rsidR="00032A75" w:rsidRPr="00B73453">
        <w:rPr>
          <w:rFonts w:ascii="仿宋_GB2312" w:eastAsia="仿宋_GB2312" w:hAnsi="仿宋" w:hint="eastAsia"/>
          <w:color w:val="111111"/>
          <w:sz w:val="32"/>
          <w:szCs w:val="32"/>
        </w:rPr>
        <w:t>20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20</w:t>
      </w:r>
      <w:r w:rsidR="00032A75" w:rsidRPr="00B73453">
        <w:rPr>
          <w:rFonts w:ascii="仿宋_GB2312" w:eastAsia="仿宋_GB2312" w:hAnsi="仿宋" w:hint="eastAsia"/>
          <w:color w:val="111111"/>
          <w:sz w:val="32"/>
          <w:szCs w:val="32"/>
        </w:rPr>
        <w:t>届毕业生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预计</w:t>
      </w:r>
      <w:r w:rsidR="00032A75">
        <w:rPr>
          <w:rFonts w:ascii="仿宋_GB2312" w:eastAsia="仿宋_GB2312" w:hAnsi="仿宋" w:hint="eastAsia"/>
          <w:color w:val="111111"/>
          <w:sz w:val="32"/>
          <w:szCs w:val="32"/>
        </w:rPr>
        <w:t>3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143</w:t>
      </w:r>
      <w:r w:rsidR="00032A75" w:rsidRPr="00B73453">
        <w:rPr>
          <w:rFonts w:ascii="仿宋_GB2312" w:eastAsia="仿宋_GB2312" w:hAnsi="仿宋" w:hint="eastAsia"/>
          <w:color w:val="111111"/>
          <w:sz w:val="32"/>
          <w:szCs w:val="32"/>
        </w:rPr>
        <w:t>人</w:t>
      </w:r>
      <w:r w:rsidR="00032A75">
        <w:rPr>
          <w:rFonts w:ascii="仿宋_GB2312" w:eastAsia="仿宋_GB2312" w:hAnsi="仿宋" w:hint="eastAsia"/>
          <w:color w:val="111111"/>
          <w:sz w:val="32"/>
          <w:szCs w:val="32"/>
        </w:rPr>
        <w:t>，20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21</w:t>
      </w:r>
      <w:r w:rsidR="00032A75">
        <w:rPr>
          <w:rFonts w:ascii="仿宋_GB2312" w:eastAsia="仿宋_GB2312" w:hAnsi="仿宋" w:hint="eastAsia"/>
          <w:color w:val="111111"/>
          <w:sz w:val="32"/>
          <w:szCs w:val="32"/>
        </w:rPr>
        <w:t>届毕业生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预计3201</w:t>
      </w:r>
      <w:r w:rsidR="00032A75">
        <w:rPr>
          <w:rFonts w:ascii="仿宋_GB2312" w:eastAsia="仿宋_GB2312" w:hAnsi="仿宋" w:hint="eastAsia"/>
          <w:color w:val="111111"/>
          <w:sz w:val="32"/>
          <w:szCs w:val="32"/>
        </w:rPr>
        <w:t>人，总计6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344</w:t>
      </w:r>
      <w:r w:rsidR="00032A75">
        <w:rPr>
          <w:rFonts w:ascii="仿宋_GB2312" w:eastAsia="仿宋_GB2312" w:hAnsi="仿宋" w:hint="eastAsia"/>
          <w:color w:val="111111"/>
          <w:sz w:val="32"/>
          <w:szCs w:val="32"/>
        </w:rPr>
        <w:t>人。6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344</w:t>
      </w:r>
      <w:r w:rsidR="00032A75" w:rsidRPr="00B73453">
        <w:rPr>
          <w:rFonts w:ascii="仿宋_GB2312" w:eastAsia="仿宋_GB2312" w:hAnsi="仿宋" w:hint="eastAsia"/>
          <w:color w:val="111111"/>
          <w:sz w:val="32"/>
          <w:szCs w:val="32"/>
        </w:rPr>
        <w:t>*30=</w:t>
      </w:r>
      <w:r w:rsidR="003A4A52" w:rsidRPr="003A4A52">
        <w:rPr>
          <w:rFonts w:ascii="仿宋_GB2312" w:eastAsia="仿宋_GB2312" w:hAnsi="仿宋"/>
          <w:color w:val="111111"/>
          <w:sz w:val="32"/>
          <w:szCs w:val="32"/>
        </w:rPr>
        <w:t>190320</w:t>
      </w:r>
      <w:r>
        <w:rPr>
          <w:rFonts w:ascii="仿宋_GB2312" w:eastAsia="仿宋_GB2312" w:hAnsi="仿宋_GB2312" w:cs="仿宋_GB2312" w:hint="eastAsia"/>
          <w:color w:val="000000"/>
          <w:spacing w:val="15"/>
          <w:kern w:val="0"/>
          <w:sz w:val="32"/>
          <w:szCs w:val="32"/>
        </w:rPr>
        <w:t>元</w:t>
      </w:r>
      <w:r w:rsidR="00FF7513">
        <w:rPr>
          <w:rFonts w:ascii="仿宋_GB2312" w:eastAsia="仿宋_GB2312" w:hAnsi="仿宋_GB2312" w:cs="仿宋_GB2312" w:hint="eastAsia"/>
          <w:color w:val="000000"/>
          <w:spacing w:val="15"/>
          <w:kern w:val="0"/>
          <w:sz w:val="32"/>
          <w:szCs w:val="32"/>
        </w:rPr>
        <w:t>（以学生实际人数和实际投保金额为准）</w:t>
      </w:r>
      <w:r w:rsidR="00090995">
        <w:rPr>
          <w:rFonts w:ascii="仿宋_GB2312" w:eastAsia="仿宋_GB2312" w:hAnsi="仿宋_GB2312" w:cs="仿宋_GB2312" w:hint="eastAsia"/>
          <w:color w:val="000000"/>
          <w:spacing w:val="15"/>
          <w:kern w:val="0"/>
          <w:sz w:val="32"/>
          <w:szCs w:val="32"/>
        </w:rPr>
        <w:t>。</w:t>
      </w:r>
    </w:p>
    <w:p w:rsidR="00032A75" w:rsidRDefault="00C837BF" w:rsidP="00412B0B">
      <w:pPr>
        <w:spacing w:line="560" w:lineRule="exact"/>
        <w:ind w:firstLineChars="196" w:firstLine="630"/>
        <w:jc w:val="left"/>
        <w:rPr>
          <w:rFonts w:ascii="仿宋_GB2312" w:eastAsia="仿宋_GB2312" w:hAnsi="仿宋"/>
          <w:b/>
          <w:color w:val="111111"/>
          <w:sz w:val="32"/>
          <w:szCs w:val="32"/>
        </w:rPr>
      </w:pPr>
      <w:r w:rsidRPr="00C837BF">
        <w:rPr>
          <w:rFonts w:ascii="仿宋_GB2312" w:eastAsia="仿宋_GB2312" w:hAnsi="仿宋" w:hint="eastAsia"/>
          <w:b/>
          <w:color w:val="111111"/>
          <w:sz w:val="32"/>
          <w:szCs w:val="32"/>
        </w:rPr>
        <w:t>三、保险期限：</w:t>
      </w:r>
    </w:p>
    <w:p w:rsidR="00032A75" w:rsidRPr="00B73453" w:rsidRDefault="00032A75" w:rsidP="00032A75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111111"/>
          <w:sz w:val="32"/>
          <w:szCs w:val="32"/>
        </w:rPr>
      </w:pPr>
      <w:r>
        <w:rPr>
          <w:rFonts w:ascii="仿宋_GB2312" w:eastAsia="仿宋_GB2312" w:hAnsi="仿宋" w:hint="eastAsia"/>
          <w:color w:val="111111"/>
          <w:sz w:val="32"/>
          <w:szCs w:val="32"/>
        </w:rPr>
        <w:t>（1）20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20</w:t>
      </w:r>
      <w:r>
        <w:rPr>
          <w:rFonts w:ascii="仿宋_GB2312" w:eastAsia="仿宋_GB2312" w:hAnsi="仿宋" w:hint="eastAsia"/>
          <w:color w:val="111111"/>
          <w:sz w:val="32"/>
          <w:szCs w:val="32"/>
        </w:rPr>
        <w:t>届毕业生：20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20</w:t>
      </w:r>
      <w:r>
        <w:rPr>
          <w:rFonts w:ascii="仿宋_GB2312" w:eastAsia="仿宋_GB2312" w:hAnsi="仿宋" w:hint="eastAsia"/>
          <w:color w:val="111111"/>
          <w:sz w:val="32"/>
          <w:szCs w:val="32"/>
        </w:rPr>
        <w:t>年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2</w:t>
      </w:r>
      <w:r w:rsidRPr="00B73453">
        <w:rPr>
          <w:rFonts w:ascii="仿宋_GB2312" w:eastAsia="仿宋_GB2312" w:hAnsi="仿宋" w:hint="eastAsia"/>
          <w:color w:val="111111"/>
          <w:sz w:val="32"/>
          <w:szCs w:val="32"/>
        </w:rPr>
        <w:t>月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24</w:t>
      </w:r>
      <w:r w:rsidRPr="00B73453">
        <w:rPr>
          <w:rFonts w:ascii="仿宋_GB2312" w:eastAsia="仿宋_GB2312" w:hAnsi="仿宋" w:hint="eastAsia"/>
          <w:color w:val="111111"/>
          <w:sz w:val="32"/>
          <w:szCs w:val="32"/>
        </w:rPr>
        <w:t>日-6月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26</w:t>
      </w:r>
      <w:r w:rsidRPr="00B73453">
        <w:rPr>
          <w:rFonts w:ascii="仿宋_GB2312" w:eastAsia="仿宋_GB2312" w:hAnsi="仿宋" w:hint="eastAsia"/>
          <w:color w:val="111111"/>
          <w:sz w:val="32"/>
          <w:szCs w:val="32"/>
        </w:rPr>
        <w:t>日</w:t>
      </w:r>
      <w:r w:rsidR="003C482D">
        <w:rPr>
          <w:rFonts w:ascii="仿宋_GB2312" w:eastAsia="仿宋_GB2312" w:hAnsi="仿宋" w:hint="eastAsia"/>
          <w:color w:val="111111"/>
          <w:sz w:val="32"/>
          <w:szCs w:val="32"/>
        </w:rPr>
        <w:t>；</w:t>
      </w:r>
      <w:r w:rsidRPr="00B73453">
        <w:rPr>
          <w:rFonts w:ascii="仿宋_GB2312" w:eastAsia="仿宋_GB2312" w:hAnsi="仿宋" w:hint="eastAsia"/>
          <w:color w:val="111111"/>
          <w:sz w:val="32"/>
          <w:szCs w:val="32"/>
        </w:rPr>
        <w:t xml:space="preserve"> </w:t>
      </w:r>
    </w:p>
    <w:p w:rsidR="00C837BF" w:rsidRDefault="00032A75" w:rsidP="00032A75">
      <w:pPr>
        <w:spacing w:line="560" w:lineRule="exact"/>
        <w:ind w:firstLineChars="200" w:firstLine="640"/>
        <w:jc w:val="left"/>
        <w:rPr>
          <w:rFonts w:ascii="仿宋_GB2312" w:eastAsia="仿宋_GB2312" w:hAnsi="仿宋"/>
          <w:color w:val="111111"/>
          <w:sz w:val="32"/>
          <w:szCs w:val="32"/>
        </w:rPr>
      </w:pPr>
      <w:r>
        <w:rPr>
          <w:rFonts w:ascii="仿宋_GB2312" w:eastAsia="仿宋_GB2312" w:hAnsi="仿宋" w:hint="eastAsia"/>
          <w:color w:val="111111"/>
          <w:sz w:val="32"/>
          <w:szCs w:val="32"/>
        </w:rPr>
        <w:t>（2）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2021</w:t>
      </w:r>
      <w:r>
        <w:rPr>
          <w:rFonts w:ascii="仿宋_GB2312" w:eastAsia="仿宋_GB2312" w:hAnsi="仿宋" w:hint="eastAsia"/>
          <w:color w:val="111111"/>
          <w:sz w:val="32"/>
          <w:szCs w:val="32"/>
        </w:rPr>
        <w:t>届毕业生：20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21</w:t>
      </w:r>
      <w:r>
        <w:rPr>
          <w:rFonts w:ascii="仿宋_GB2312" w:eastAsia="仿宋_GB2312" w:hAnsi="仿宋" w:hint="eastAsia"/>
          <w:color w:val="111111"/>
          <w:sz w:val="32"/>
          <w:szCs w:val="32"/>
        </w:rPr>
        <w:t>年</w:t>
      </w:r>
      <w:r w:rsidRPr="00B73453">
        <w:rPr>
          <w:rFonts w:ascii="仿宋_GB2312" w:eastAsia="仿宋_GB2312" w:hAnsi="仿宋" w:hint="eastAsia"/>
          <w:color w:val="111111"/>
          <w:sz w:val="32"/>
          <w:szCs w:val="32"/>
        </w:rPr>
        <w:t>3月1日-6月30日</w:t>
      </w:r>
      <w:r w:rsidR="003A4A52">
        <w:rPr>
          <w:rFonts w:ascii="仿宋_GB2312" w:eastAsia="仿宋_GB2312" w:hAnsi="仿宋" w:hint="eastAsia"/>
          <w:color w:val="111111"/>
          <w:sz w:val="32"/>
          <w:szCs w:val="32"/>
        </w:rPr>
        <w:t>(暂定)</w:t>
      </w:r>
      <w:r w:rsidR="00C837BF">
        <w:rPr>
          <w:rFonts w:ascii="仿宋_GB2312" w:eastAsia="仿宋_GB2312" w:hAnsi="仿宋" w:hint="eastAsia"/>
          <w:color w:val="111111"/>
          <w:sz w:val="32"/>
          <w:szCs w:val="32"/>
        </w:rPr>
        <w:t>。</w:t>
      </w:r>
    </w:p>
    <w:p w:rsidR="00A06E67" w:rsidRPr="00C837BF" w:rsidRDefault="00C837BF" w:rsidP="00C837BF">
      <w:pPr>
        <w:spacing w:line="560" w:lineRule="exact"/>
        <w:ind w:firstLineChars="196" w:firstLine="688"/>
        <w:jc w:val="left"/>
        <w:rPr>
          <w:rFonts w:ascii="仿宋_GB2312" w:eastAsia="仿宋_GB2312" w:hAnsi="仿宋"/>
          <w:color w:val="11111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color w:val="000000"/>
          <w:spacing w:val="15"/>
          <w:kern w:val="0"/>
          <w:sz w:val="32"/>
          <w:szCs w:val="32"/>
        </w:rPr>
        <w:t>四</w:t>
      </w:r>
      <w:r w:rsidR="0080664E">
        <w:rPr>
          <w:rFonts w:ascii="仿宋_GB2312" w:eastAsia="仿宋_GB2312" w:hAnsi="仿宋_GB2312" w:cs="仿宋_GB2312" w:hint="eastAsia"/>
          <w:b/>
          <w:color w:val="000000"/>
          <w:spacing w:val="15"/>
          <w:kern w:val="0"/>
          <w:sz w:val="32"/>
          <w:szCs w:val="32"/>
        </w:rPr>
        <w:t>、服务项目内容及需求</w:t>
      </w:r>
    </w:p>
    <w:p w:rsidR="00A06E67" w:rsidRDefault="0080664E">
      <w:pPr>
        <w:widowControl/>
        <w:spacing w:line="560" w:lineRule="exact"/>
        <w:jc w:val="left"/>
        <w:rPr>
          <w:rFonts w:ascii="仿宋_GB2312" w:eastAsia="仿宋_GB2312" w:hAnsi="仿宋_GB2312" w:cs="仿宋_GB2312"/>
          <w:color w:val="000000"/>
          <w:spacing w:val="15"/>
          <w:kern w:val="0"/>
          <w:sz w:val="32"/>
          <w:szCs w:val="32"/>
        </w:rPr>
      </w:pPr>
      <w:r>
        <w:rPr>
          <w:rFonts w:ascii="楷体_GB2312" w:eastAsia="楷体_GB2312" w:hAnsi="仿宋_GB2312" w:cs="仿宋_GB2312" w:hint="eastAsia"/>
          <w:color w:val="000000"/>
          <w:spacing w:val="15"/>
          <w:kern w:val="0"/>
          <w:sz w:val="32"/>
          <w:szCs w:val="32"/>
        </w:rPr>
        <w:t>（一）服务项目</w:t>
      </w:r>
      <w:r>
        <w:rPr>
          <w:rFonts w:ascii="仿宋_GB2312" w:eastAsia="仿宋_GB2312" w:hAnsi="仿宋_GB2312" w:cs="仿宋_GB2312" w:hint="eastAsia"/>
          <w:color w:val="000000"/>
          <w:spacing w:val="15"/>
          <w:kern w:val="0"/>
          <w:sz w:val="32"/>
          <w:szCs w:val="32"/>
        </w:rPr>
        <w:t>：</w:t>
      </w:r>
    </w:p>
    <w:tbl>
      <w:tblPr>
        <w:tblW w:w="836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4111"/>
        <w:gridCol w:w="3260"/>
      </w:tblGrid>
      <w:tr w:rsidR="00A06E67" w:rsidTr="00C7341C">
        <w:trPr>
          <w:trHeight w:hRule="exact" w:val="662"/>
          <w:jc w:val="center"/>
        </w:trPr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A64D7E" w:rsidRDefault="0080664E" w:rsidP="00A64D7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411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A64D7E" w:rsidRDefault="0080664E" w:rsidP="00A64D7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保险责任</w:t>
            </w:r>
          </w:p>
        </w:tc>
        <w:tc>
          <w:tcPr>
            <w:tcW w:w="326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A64D7E" w:rsidRDefault="0080664E" w:rsidP="00A64D7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保额（元）</w:t>
            </w:r>
          </w:p>
        </w:tc>
      </w:tr>
      <w:tr w:rsidR="00A06E67" w:rsidTr="00C7341C">
        <w:trPr>
          <w:trHeight w:hRule="exact" w:val="714"/>
          <w:jc w:val="center"/>
        </w:trPr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A64D7E" w:rsidRDefault="0080664E" w:rsidP="00A64D7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64D7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A64D7E" w:rsidRDefault="0080664E" w:rsidP="00A64D7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意外伤害（身故、残疾）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A64D7E" w:rsidRDefault="0080664E" w:rsidP="00A64D7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</w:t>
            </w:r>
            <w:r w:rsidRPr="00A64D7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10</w:t>
            </w: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万元</w:t>
            </w:r>
            <w:r w:rsidRPr="00A64D7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/</w:t>
            </w: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</w:t>
            </w:r>
          </w:p>
        </w:tc>
      </w:tr>
      <w:tr w:rsidR="00A06E67" w:rsidTr="00C7341C">
        <w:trPr>
          <w:trHeight w:hRule="exact" w:val="696"/>
          <w:jc w:val="center"/>
        </w:trPr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A64D7E" w:rsidRDefault="0080664E" w:rsidP="00A64D7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64D7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A64D7E" w:rsidRDefault="0080664E" w:rsidP="00A64D7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意外伤害医疗</w:t>
            </w:r>
            <w:r w:rsidRPr="00A64D7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(</w:t>
            </w: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门诊、住院</w:t>
            </w:r>
            <w:r w:rsidRPr="00A64D7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A64D7E" w:rsidRDefault="0080664E" w:rsidP="00A64D7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</w:t>
            </w:r>
            <w:r w:rsidRPr="00A64D7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2</w:t>
            </w: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万元</w:t>
            </w:r>
            <w:r w:rsidRPr="00A64D7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/</w:t>
            </w: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人</w:t>
            </w:r>
          </w:p>
        </w:tc>
      </w:tr>
      <w:tr w:rsidR="00A06E67" w:rsidTr="00C7341C">
        <w:trPr>
          <w:trHeight w:hRule="exact" w:val="720"/>
          <w:jc w:val="center"/>
        </w:trPr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A64D7E" w:rsidRDefault="0080664E" w:rsidP="00A64D7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64D7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A64D7E" w:rsidRDefault="0080664E" w:rsidP="00A64D7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意外伤害住院补贴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A64D7E" w:rsidRDefault="0080664E" w:rsidP="00A64D7E">
            <w:pPr>
              <w:widowControl/>
              <w:spacing w:before="100" w:beforeAutospacing="1" w:after="100" w:afterAutospacing="1" w:line="400" w:lineRule="atLeast"/>
              <w:jc w:val="center"/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</w:pP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≥</w:t>
            </w:r>
            <w:r w:rsidRPr="00A64D7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20</w:t>
            </w: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元</w:t>
            </w:r>
            <w:r w:rsidRPr="00A64D7E">
              <w:rPr>
                <w:rFonts w:ascii="仿宋_GB2312" w:eastAsia="仿宋_GB2312" w:hAnsi="仿宋_GB2312" w:cs="仿宋_GB2312"/>
                <w:kern w:val="0"/>
                <w:sz w:val="24"/>
                <w:szCs w:val="24"/>
              </w:rPr>
              <w:t>/</w:t>
            </w:r>
            <w:r w:rsidRPr="00A64D7E">
              <w:rPr>
                <w:rFonts w:ascii="仿宋_GB2312" w:eastAsia="仿宋_GB2312" w:hAnsi="仿宋_GB2312" w:cs="仿宋_GB2312" w:hint="eastAsia"/>
                <w:kern w:val="0"/>
                <w:sz w:val="24"/>
                <w:szCs w:val="24"/>
              </w:rPr>
              <w:t>天</w:t>
            </w:r>
          </w:p>
        </w:tc>
      </w:tr>
    </w:tbl>
    <w:p w:rsidR="00A06E67" w:rsidRDefault="0080664E" w:rsidP="00FF7513">
      <w:pPr>
        <w:widowControl/>
        <w:spacing w:line="560" w:lineRule="exact"/>
        <w:ind w:firstLineChars="200" w:firstLine="700"/>
        <w:jc w:val="left"/>
        <w:rPr>
          <w:rFonts w:ascii="楷体_GB2312" w:eastAsia="楷体_GB2312" w:cs="宋体"/>
          <w:spacing w:val="15"/>
          <w:kern w:val="0"/>
          <w:szCs w:val="21"/>
        </w:rPr>
      </w:pPr>
      <w:r>
        <w:rPr>
          <w:rFonts w:ascii="楷体_GB2312" w:eastAsia="楷体_GB2312" w:hAnsi="仿宋" w:cs="宋体" w:hint="eastAsia"/>
          <w:spacing w:val="15"/>
          <w:kern w:val="0"/>
          <w:sz w:val="32"/>
          <w:szCs w:val="32"/>
        </w:rPr>
        <w:t>（二）服务项目要求：</w:t>
      </w:r>
    </w:p>
    <w:p w:rsidR="00A06E67" w:rsidRDefault="0080664E" w:rsidP="00FF7513">
      <w:pPr>
        <w:widowControl/>
        <w:spacing w:line="560" w:lineRule="exact"/>
        <w:ind w:firstLineChars="200" w:firstLine="700"/>
        <w:jc w:val="left"/>
        <w:rPr>
          <w:rFonts w:ascii="仿宋_GB2312" w:eastAsia="仿宋_GB2312" w:cs="宋体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1.24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小时全国承担保险风险，</w:t>
      </w: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100</w:t>
      </w:r>
      <w:r>
        <w:rPr>
          <w:rFonts w:ascii="仿宋_GB2312" w:eastAsia="仿宋_GB2312" w:hAnsi="仿宋" w:cs="宋体" w:hint="eastAsia"/>
          <w:spacing w:val="15"/>
          <w:kern w:val="0"/>
          <w:sz w:val="32"/>
          <w:szCs w:val="32"/>
        </w:rPr>
        <w:t>％给付</w:t>
      </w:r>
      <w:r w:rsidR="003C482D">
        <w:rPr>
          <w:rFonts w:ascii="仿宋_GB2312" w:eastAsia="仿宋_GB2312" w:hAnsi="仿宋" w:cs="宋体" w:hint="eastAsia"/>
          <w:spacing w:val="15"/>
          <w:kern w:val="0"/>
          <w:sz w:val="32"/>
          <w:szCs w:val="32"/>
        </w:rPr>
        <w:t>；</w:t>
      </w:r>
    </w:p>
    <w:p w:rsidR="00A06E67" w:rsidRDefault="0080664E" w:rsidP="00FF7513">
      <w:pPr>
        <w:widowControl/>
        <w:spacing w:line="560" w:lineRule="exact"/>
        <w:ind w:firstLineChars="200" w:firstLine="700"/>
        <w:jc w:val="left"/>
        <w:rPr>
          <w:rFonts w:ascii="仿宋_GB2312" w:eastAsia="仿宋_GB2312" w:cs="宋体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身故：给付被保险人</w:t>
      </w:r>
      <w:r>
        <w:rPr>
          <w:rFonts w:ascii="仿宋_GB2312" w:eastAsia="仿宋_GB2312" w:hAnsi="仿宋" w:cs="宋体" w:hint="eastAsia"/>
          <w:spacing w:val="15"/>
          <w:kern w:val="0"/>
          <w:sz w:val="32"/>
          <w:szCs w:val="32"/>
        </w:rPr>
        <w:t>≥</w:t>
      </w: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10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万元</w:t>
      </w: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/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人身故保险金；</w:t>
      </w:r>
    </w:p>
    <w:p w:rsidR="00A06E67" w:rsidRDefault="0080664E" w:rsidP="00FF7513">
      <w:pPr>
        <w:widowControl/>
        <w:spacing w:line="560" w:lineRule="exact"/>
        <w:ind w:firstLineChars="200" w:firstLine="700"/>
        <w:jc w:val="left"/>
        <w:rPr>
          <w:rFonts w:ascii="仿宋_GB2312" w:eastAsia="仿宋_GB2312" w:cs="宋体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残疾：根据“残疾等级”给付伤残保险金；</w:t>
      </w:r>
    </w:p>
    <w:p w:rsidR="00A64D7E" w:rsidRDefault="00A64D7E">
      <w:pPr>
        <w:widowControl/>
        <w:spacing w:line="560" w:lineRule="exact"/>
        <w:jc w:val="center"/>
        <w:rPr>
          <w:rFonts w:ascii="仿宋_GB2312" w:eastAsia="仿宋_GB2312" w:hAnsi="宋体" w:cs="宋体"/>
          <w:b/>
          <w:spacing w:val="15"/>
          <w:kern w:val="0"/>
          <w:sz w:val="32"/>
          <w:szCs w:val="32"/>
        </w:rPr>
      </w:pPr>
    </w:p>
    <w:p w:rsidR="00A06E67" w:rsidRDefault="0080664E">
      <w:pPr>
        <w:widowControl/>
        <w:spacing w:line="560" w:lineRule="exact"/>
        <w:jc w:val="center"/>
        <w:rPr>
          <w:rFonts w:ascii="宋体" w:cs="宋体"/>
          <w:b/>
          <w:spacing w:val="15"/>
          <w:kern w:val="0"/>
          <w:szCs w:val="21"/>
        </w:rPr>
      </w:pPr>
      <w:r>
        <w:rPr>
          <w:rFonts w:ascii="仿宋_GB2312" w:eastAsia="仿宋_GB2312" w:hAnsi="宋体" w:cs="宋体" w:hint="eastAsia"/>
          <w:b/>
          <w:spacing w:val="15"/>
          <w:kern w:val="0"/>
          <w:sz w:val="32"/>
          <w:szCs w:val="32"/>
        </w:rPr>
        <w:lastRenderedPageBreak/>
        <w:t>残疾等级与保额给付比例表</w:t>
      </w:r>
    </w:p>
    <w:tbl>
      <w:tblPr>
        <w:tblW w:w="598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2"/>
        <w:gridCol w:w="3680"/>
      </w:tblGrid>
      <w:tr w:rsidR="00A06E67" w:rsidRPr="008D1A23" w:rsidTr="00F51874">
        <w:trPr>
          <w:trHeight w:val="701"/>
          <w:jc w:val="center"/>
        </w:trPr>
        <w:tc>
          <w:tcPr>
            <w:tcW w:w="2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残疾等级</w:t>
            </w:r>
          </w:p>
        </w:tc>
        <w:tc>
          <w:tcPr>
            <w:tcW w:w="3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b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宋体" w:cs="宋体" w:hint="eastAsia"/>
                <w:b/>
                <w:kern w:val="0"/>
                <w:sz w:val="24"/>
                <w:szCs w:val="24"/>
              </w:rPr>
              <w:t>比例</w:t>
            </w:r>
          </w:p>
        </w:tc>
      </w:tr>
      <w:tr w:rsidR="00A06E67" w:rsidRPr="008D1A23" w:rsidTr="00F51874">
        <w:trPr>
          <w:trHeight w:val="555"/>
          <w:jc w:val="center"/>
        </w:trPr>
        <w:tc>
          <w:tcPr>
            <w:tcW w:w="2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proofErr w:type="gramStart"/>
            <w:r w:rsidRPr="008D1A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100%</w:t>
            </w:r>
          </w:p>
        </w:tc>
      </w:tr>
      <w:tr w:rsidR="00A06E67" w:rsidRPr="008D1A23" w:rsidTr="00F51874">
        <w:trPr>
          <w:trHeight w:val="549"/>
          <w:jc w:val="center"/>
        </w:trPr>
        <w:tc>
          <w:tcPr>
            <w:tcW w:w="2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二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≥</w:t>
            </w:r>
            <w:r w:rsidRPr="008D1A2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75%</w:t>
            </w:r>
          </w:p>
        </w:tc>
      </w:tr>
      <w:tr w:rsidR="00A06E67" w:rsidRPr="008D1A23" w:rsidTr="00F51874">
        <w:trPr>
          <w:trHeight w:val="542"/>
          <w:jc w:val="center"/>
        </w:trPr>
        <w:tc>
          <w:tcPr>
            <w:tcW w:w="2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三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≥</w:t>
            </w:r>
            <w:r w:rsidRPr="008D1A2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50%</w:t>
            </w:r>
          </w:p>
        </w:tc>
      </w:tr>
      <w:tr w:rsidR="00A06E67" w:rsidRPr="008D1A23" w:rsidTr="00F51874">
        <w:trPr>
          <w:trHeight w:val="550"/>
          <w:jc w:val="center"/>
        </w:trPr>
        <w:tc>
          <w:tcPr>
            <w:tcW w:w="2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≥</w:t>
            </w:r>
            <w:r w:rsidRPr="008D1A2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30%</w:t>
            </w:r>
          </w:p>
        </w:tc>
      </w:tr>
      <w:tr w:rsidR="00A06E67" w:rsidRPr="008D1A23" w:rsidTr="00F51874">
        <w:trPr>
          <w:trHeight w:val="572"/>
          <w:jc w:val="center"/>
        </w:trPr>
        <w:tc>
          <w:tcPr>
            <w:tcW w:w="2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五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≥</w:t>
            </w:r>
            <w:r w:rsidRPr="008D1A2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20%</w:t>
            </w:r>
          </w:p>
        </w:tc>
      </w:tr>
      <w:tr w:rsidR="00A06E67" w:rsidRPr="008D1A23" w:rsidTr="00F51874">
        <w:trPr>
          <w:trHeight w:val="552"/>
          <w:jc w:val="center"/>
        </w:trPr>
        <w:tc>
          <w:tcPr>
            <w:tcW w:w="2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六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≥</w:t>
            </w:r>
            <w:r w:rsidRPr="008D1A2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15%</w:t>
            </w:r>
          </w:p>
        </w:tc>
      </w:tr>
      <w:tr w:rsidR="00A06E67" w:rsidRPr="008D1A23" w:rsidTr="00F51874">
        <w:trPr>
          <w:trHeight w:val="546"/>
          <w:jc w:val="center"/>
        </w:trPr>
        <w:tc>
          <w:tcPr>
            <w:tcW w:w="2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七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≥</w:t>
            </w:r>
            <w:r w:rsidRPr="008D1A2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10%</w:t>
            </w:r>
          </w:p>
        </w:tc>
      </w:tr>
      <w:tr w:rsidR="00A06E67" w:rsidRPr="008D1A23" w:rsidTr="00F51874">
        <w:trPr>
          <w:trHeight w:val="540"/>
          <w:jc w:val="center"/>
        </w:trPr>
        <w:tc>
          <w:tcPr>
            <w:tcW w:w="2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八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≥</w:t>
            </w:r>
            <w:r w:rsidRPr="008D1A2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2%</w:t>
            </w:r>
          </w:p>
        </w:tc>
      </w:tr>
      <w:tr w:rsidR="00A06E67" w:rsidRPr="008D1A23" w:rsidTr="00F51874">
        <w:trPr>
          <w:trHeight w:val="562"/>
          <w:jc w:val="center"/>
        </w:trPr>
        <w:tc>
          <w:tcPr>
            <w:tcW w:w="2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九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≥</w:t>
            </w:r>
            <w:r w:rsidRPr="008D1A2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0.5%</w:t>
            </w:r>
          </w:p>
        </w:tc>
      </w:tr>
      <w:tr w:rsidR="00A06E67" w:rsidRPr="008D1A23" w:rsidTr="00F51874">
        <w:trPr>
          <w:trHeight w:val="556"/>
          <w:jc w:val="center"/>
        </w:trPr>
        <w:tc>
          <w:tcPr>
            <w:tcW w:w="23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十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A06E67" w:rsidRPr="008D1A23" w:rsidRDefault="0080664E" w:rsidP="008D1A23">
            <w:pPr>
              <w:widowControl/>
              <w:spacing w:before="100" w:beforeAutospacing="1" w:after="100" w:afterAutospacing="1" w:line="240" w:lineRule="atLeast"/>
              <w:jc w:val="center"/>
              <w:rPr>
                <w:rFonts w:ascii="仿宋_GB2312" w:eastAsia="仿宋_GB2312" w:cs="宋体"/>
                <w:kern w:val="0"/>
                <w:sz w:val="24"/>
                <w:szCs w:val="24"/>
              </w:rPr>
            </w:pPr>
            <w:r w:rsidRPr="008D1A23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≥</w:t>
            </w:r>
            <w:r w:rsidRPr="008D1A23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>0.1%</w:t>
            </w:r>
          </w:p>
        </w:tc>
      </w:tr>
    </w:tbl>
    <w:p w:rsidR="00A06E67" w:rsidRDefault="0080664E">
      <w:pPr>
        <w:widowControl/>
        <w:spacing w:line="560" w:lineRule="exact"/>
        <w:ind w:firstLine="646"/>
        <w:jc w:val="left"/>
        <w:rPr>
          <w:rFonts w:ascii="仿宋_GB2312" w:eastAsia="仿宋_GB2312" w:cs="宋体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门诊或住院所用医疗费：对每次事故所支出的合理医疗费用（免赔额为</w:t>
      </w: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100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元）后在</w:t>
      </w:r>
      <w:r>
        <w:rPr>
          <w:rFonts w:ascii="仿宋_GB2312" w:eastAsia="仿宋_GB2312" w:hAnsi="仿宋" w:cs="宋体" w:hint="eastAsia"/>
          <w:spacing w:val="15"/>
          <w:kern w:val="0"/>
          <w:sz w:val="32"/>
          <w:szCs w:val="32"/>
        </w:rPr>
        <w:t>≥</w:t>
      </w: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2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万元</w:t>
      </w: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/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人给付医疗费；</w:t>
      </w:r>
    </w:p>
    <w:p w:rsidR="00A06E67" w:rsidRDefault="0080664E">
      <w:pPr>
        <w:widowControl/>
        <w:spacing w:line="560" w:lineRule="exact"/>
        <w:ind w:firstLine="646"/>
        <w:jc w:val="left"/>
        <w:rPr>
          <w:rFonts w:ascii="仿宋_GB2312" w:eastAsia="仿宋_GB2312" w:cs="宋体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5.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住院：按实际住院天数以</w:t>
      </w:r>
      <w:r>
        <w:rPr>
          <w:rFonts w:ascii="仿宋_GB2312" w:eastAsia="仿宋_GB2312" w:hAnsi="仿宋" w:cs="宋体" w:hint="eastAsia"/>
          <w:spacing w:val="15"/>
          <w:kern w:val="0"/>
          <w:sz w:val="32"/>
          <w:szCs w:val="32"/>
        </w:rPr>
        <w:t>≥</w:t>
      </w: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2</w:t>
      </w:r>
      <w:r>
        <w:rPr>
          <w:rFonts w:ascii="仿宋_GB2312" w:eastAsia="仿宋_GB2312" w:cs="宋体"/>
          <w:spacing w:val="15"/>
          <w:kern w:val="0"/>
          <w:sz w:val="32"/>
          <w:szCs w:val="32"/>
        </w:rPr>
        <w:t>0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元</w:t>
      </w: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/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天的标准给予住院补贴，全年给付不低于</w:t>
      </w:r>
      <w:r>
        <w:rPr>
          <w:rFonts w:ascii="仿宋_GB2312" w:eastAsia="仿宋_GB2312" w:hAnsi="宋体" w:cs="宋体"/>
          <w:spacing w:val="15"/>
          <w:kern w:val="0"/>
          <w:sz w:val="32"/>
          <w:szCs w:val="32"/>
        </w:rPr>
        <w:t>180</w:t>
      </w: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天</w:t>
      </w:r>
      <w:r w:rsidR="00DE54CE"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。</w:t>
      </w:r>
    </w:p>
    <w:p w:rsidR="00A06E67" w:rsidRDefault="00587E15">
      <w:pPr>
        <w:widowControl/>
        <w:spacing w:line="560" w:lineRule="exact"/>
        <w:ind w:firstLine="646"/>
        <w:jc w:val="left"/>
        <w:rPr>
          <w:rFonts w:ascii="仿宋_GB2312" w:eastAsia="仿宋_GB2312" w:cs="宋体"/>
          <w:b/>
          <w:spacing w:val="15"/>
          <w:kern w:val="0"/>
          <w:szCs w:val="21"/>
        </w:rPr>
      </w:pPr>
      <w:r>
        <w:rPr>
          <w:rFonts w:ascii="仿宋_GB2312" w:eastAsia="仿宋_GB2312" w:hAnsi="宋体" w:cs="宋体" w:hint="eastAsia"/>
          <w:b/>
          <w:spacing w:val="15"/>
          <w:kern w:val="0"/>
          <w:sz w:val="32"/>
          <w:szCs w:val="32"/>
        </w:rPr>
        <w:t>五</w:t>
      </w:r>
      <w:r w:rsidR="0080664E">
        <w:rPr>
          <w:rFonts w:ascii="仿宋_GB2312" w:eastAsia="仿宋_GB2312" w:hAnsi="宋体" w:cs="宋体" w:hint="eastAsia"/>
          <w:b/>
          <w:spacing w:val="15"/>
          <w:kern w:val="0"/>
          <w:sz w:val="32"/>
          <w:szCs w:val="32"/>
        </w:rPr>
        <w:t>、其他</w:t>
      </w:r>
    </w:p>
    <w:p w:rsidR="00A06E67" w:rsidRDefault="0080664E">
      <w:pPr>
        <w:widowControl/>
        <w:spacing w:line="560" w:lineRule="exact"/>
        <w:ind w:firstLine="646"/>
        <w:jc w:val="left"/>
        <w:rPr>
          <w:rFonts w:ascii="仿宋_GB2312" w:eastAsia="仿宋_GB2312" w:hAnsi="宋体" w:cs="宋体"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经评审确定的投保合作单位，学院与投保合作单位签订投保合同，根据在校生的实际人数购买学生实习</w:t>
      </w:r>
      <w:proofErr w:type="gramStart"/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责任险并凭</w:t>
      </w:r>
      <w:proofErr w:type="gramEnd"/>
      <w:r>
        <w:rPr>
          <w:rFonts w:ascii="仿宋_GB2312" w:eastAsia="仿宋_GB2312" w:hAnsi="宋体" w:cs="宋体" w:hint="eastAsia"/>
          <w:spacing w:val="15"/>
          <w:kern w:val="0"/>
          <w:sz w:val="32"/>
          <w:szCs w:val="32"/>
        </w:rPr>
        <w:t>发票付款。</w:t>
      </w:r>
    </w:p>
    <w:p w:rsidR="00A06E67" w:rsidRDefault="00587E15">
      <w:pPr>
        <w:widowControl/>
        <w:spacing w:line="560" w:lineRule="exact"/>
        <w:ind w:firstLine="646"/>
        <w:jc w:val="left"/>
        <w:rPr>
          <w:rFonts w:ascii="仿宋_GB2312" w:eastAsia="仿宋_GB2312" w:hAnsi="宋体" w:cs="宋体"/>
          <w:b/>
          <w:spacing w:val="15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spacing w:val="15"/>
          <w:kern w:val="0"/>
          <w:sz w:val="32"/>
          <w:szCs w:val="32"/>
        </w:rPr>
        <w:t>六</w:t>
      </w:r>
      <w:r w:rsidR="0080664E">
        <w:rPr>
          <w:rFonts w:ascii="仿宋_GB2312" w:eastAsia="仿宋_GB2312" w:hAnsi="宋体" w:cs="宋体" w:hint="eastAsia"/>
          <w:b/>
          <w:spacing w:val="15"/>
          <w:kern w:val="0"/>
          <w:sz w:val="32"/>
          <w:szCs w:val="32"/>
        </w:rPr>
        <w:t>、</w:t>
      </w:r>
      <w:r w:rsidR="0080664E">
        <w:rPr>
          <w:rFonts w:ascii="仿宋_GB2312" w:eastAsia="仿宋_GB2312" w:hAnsi="宋体" w:cs="宋体" w:hint="eastAsia"/>
          <w:b/>
          <w:bCs/>
          <w:spacing w:val="15"/>
          <w:kern w:val="0"/>
          <w:sz w:val="32"/>
          <w:szCs w:val="32"/>
        </w:rPr>
        <w:t>学生“实习责任保险”投保评分标准（见下表）</w:t>
      </w:r>
      <w:r w:rsidR="00CC1544">
        <w:rPr>
          <w:rFonts w:ascii="仿宋_GB2312" w:eastAsia="仿宋_GB2312" w:hAnsi="宋体" w:cs="宋体" w:hint="eastAsia"/>
          <w:b/>
          <w:bCs/>
          <w:spacing w:val="15"/>
          <w:kern w:val="0"/>
          <w:sz w:val="32"/>
          <w:szCs w:val="32"/>
        </w:rPr>
        <w:t>：</w:t>
      </w:r>
    </w:p>
    <w:p w:rsidR="00A06E67" w:rsidRDefault="00A06E67">
      <w:pPr>
        <w:widowControl/>
        <w:spacing w:line="560" w:lineRule="exact"/>
        <w:ind w:firstLine="646"/>
        <w:jc w:val="left"/>
        <w:rPr>
          <w:rFonts w:ascii="仿宋_GB2312" w:eastAsia="仿宋_GB2312" w:hAnsi="宋体" w:cs="宋体"/>
          <w:spacing w:val="15"/>
          <w:kern w:val="0"/>
          <w:sz w:val="32"/>
          <w:szCs w:val="32"/>
        </w:rPr>
        <w:sectPr w:rsidR="00A06E67">
          <w:pgSz w:w="11906" w:h="16838"/>
          <w:pgMar w:top="2098" w:right="1587" w:bottom="1984" w:left="1587" w:header="851" w:footer="992" w:gutter="0"/>
          <w:cols w:space="425"/>
          <w:docGrid w:type="lines" w:linePitch="312"/>
        </w:sectPr>
      </w:pPr>
    </w:p>
    <w:p w:rsidR="00C960D3" w:rsidRPr="008A1483" w:rsidRDefault="00C960D3" w:rsidP="00C960D3">
      <w:pPr>
        <w:jc w:val="center"/>
        <w:rPr>
          <w:rFonts w:ascii="仿宋" w:eastAsia="仿宋" w:hAnsi="仿宋"/>
          <w:b/>
          <w:sz w:val="36"/>
          <w:szCs w:val="36"/>
        </w:rPr>
      </w:pPr>
      <w:r w:rsidRPr="008A1483">
        <w:rPr>
          <w:rFonts w:ascii="仿宋" w:eastAsia="仿宋" w:hAnsi="仿宋" w:hint="eastAsia"/>
          <w:b/>
          <w:sz w:val="36"/>
          <w:szCs w:val="36"/>
        </w:rPr>
        <w:lastRenderedPageBreak/>
        <w:t>20</w:t>
      </w:r>
      <w:r>
        <w:rPr>
          <w:rFonts w:ascii="仿宋" w:eastAsia="仿宋" w:hAnsi="仿宋" w:hint="eastAsia"/>
          <w:b/>
          <w:sz w:val="36"/>
          <w:szCs w:val="36"/>
        </w:rPr>
        <w:t>20</w:t>
      </w:r>
      <w:r w:rsidRPr="008A1483">
        <w:rPr>
          <w:rFonts w:ascii="仿宋" w:eastAsia="仿宋" w:hAnsi="仿宋" w:hint="eastAsia"/>
          <w:b/>
          <w:sz w:val="36"/>
          <w:szCs w:val="36"/>
        </w:rPr>
        <w:t>、20</w:t>
      </w:r>
      <w:r>
        <w:rPr>
          <w:rFonts w:ascii="仿宋" w:eastAsia="仿宋" w:hAnsi="仿宋" w:hint="eastAsia"/>
          <w:b/>
          <w:sz w:val="36"/>
          <w:szCs w:val="36"/>
        </w:rPr>
        <w:t>21</w:t>
      </w:r>
      <w:r w:rsidRPr="008A1483">
        <w:rPr>
          <w:rFonts w:ascii="仿宋" w:eastAsia="仿宋" w:hAnsi="仿宋" w:hint="eastAsia"/>
          <w:b/>
          <w:sz w:val="36"/>
          <w:szCs w:val="36"/>
        </w:rPr>
        <w:t>届毕业生购买“实习责任保险”</w:t>
      </w:r>
      <w:r>
        <w:rPr>
          <w:rFonts w:ascii="仿宋" w:eastAsia="仿宋" w:hAnsi="仿宋" w:hint="eastAsia"/>
          <w:b/>
          <w:sz w:val="36"/>
          <w:szCs w:val="36"/>
        </w:rPr>
        <w:t>投保评分标准</w:t>
      </w:r>
    </w:p>
    <w:tbl>
      <w:tblPr>
        <w:tblW w:w="14940" w:type="dxa"/>
        <w:jc w:val="center"/>
        <w:tblLayout w:type="fixed"/>
        <w:tblLook w:val="04A0" w:firstRow="1" w:lastRow="0" w:firstColumn="1" w:lastColumn="0" w:noHBand="0" w:noVBand="1"/>
      </w:tblPr>
      <w:tblGrid>
        <w:gridCol w:w="554"/>
        <w:gridCol w:w="1474"/>
        <w:gridCol w:w="851"/>
        <w:gridCol w:w="8929"/>
        <w:gridCol w:w="567"/>
        <w:gridCol w:w="567"/>
        <w:gridCol w:w="567"/>
        <w:gridCol w:w="567"/>
        <w:gridCol w:w="864"/>
      </w:tblGrid>
      <w:tr w:rsidR="00C960D3" w:rsidTr="009766CB">
        <w:trPr>
          <w:trHeight w:val="347"/>
          <w:tblHeader/>
          <w:jc w:val="center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项目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分配</w:t>
            </w:r>
          </w:p>
          <w:p w:rsidR="00C960D3" w:rsidRDefault="00C960D3" w:rsidP="00E93CC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分数</w:t>
            </w:r>
          </w:p>
        </w:tc>
        <w:tc>
          <w:tcPr>
            <w:tcW w:w="89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评议内容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评分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得分</w:t>
            </w:r>
          </w:p>
        </w:tc>
      </w:tr>
      <w:tr w:rsidR="00C960D3" w:rsidTr="009766CB">
        <w:trPr>
          <w:trHeight w:val="381"/>
          <w:tblHeader/>
          <w:jc w:val="center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9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优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良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中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差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:rsidR="00C960D3" w:rsidTr="00E93CCF">
        <w:trPr>
          <w:trHeight w:val="731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企业实力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根据各投标人自2016年1月1日以来，为各单位提供同类团体保险的服务经验进行评分，为十家或以上单位提供过服务的为“优”；为八家或以上单位提供过服务，但不足十家的为“良”；为五家或以上单位提供过服务，但不足八家的为“中”；服务过的单位不足5家的为“差”。</w:t>
            </w:r>
          </w:p>
          <w:p w:rsidR="00C960D3" w:rsidRDefault="00C960D3" w:rsidP="00E93CC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（需提供合同复印件作为证明材料，</w:t>
            </w:r>
            <w:r w:rsidRPr="005C0B18"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同一单位的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按一家计算）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960D3" w:rsidTr="00E93CCF">
        <w:trPr>
          <w:trHeight w:val="870"/>
          <w:jc w:val="center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商业信誉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根据各投标人提供的银行或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其他第三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方金融机构出具的资信等级进行评分，信用等级“AA”级及以上为“优”，信用等级为“A”、“BBB”为“良”，信用等级为“BB”、“B”为“中”，信用等级为“D”为“差”。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0.5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960D3" w:rsidTr="009766CB">
        <w:trPr>
          <w:trHeight w:val="401"/>
          <w:jc w:val="center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投标人具有工商行政部门颁发的守合同重信用证书的，得2分。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960D3" w:rsidTr="00E93CCF">
        <w:trPr>
          <w:trHeight w:val="6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发生单起安全事故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赔偿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100万元（含）以下为“中”；100—300万元（含）为“良”；300万元（不含）以上为“优”。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960D3" w:rsidTr="00E93CCF">
        <w:trPr>
          <w:trHeight w:val="640"/>
          <w:jc w:val="center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4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理赔效率</w:t>
            </w:r>
          </w:p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承诺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根据参与投保公司提供的理赔统计数据进行评价，理赔案件材料齐全情况下：7个工作日内完成理赔手续并赔付为“优”，7-14个工作日完成赔付为“良”，14个工作日以后为“中”。</w:t>
            </w:r>
            <w:r>
              <w:rPr>
                <w:rFonts w:ascii="仿宋_GB2312" w:eastAsia="仿宋_GB2312" w:hAnsi="宋体" w:cs="宋体" w:hint="eastAsia"/>
                <w:b/>
                <w:color w:val="FF0000"/>
                <w:kern w:val="0"/>
                <w:sz w:val="22"/>
              </w:rPr>
              <w:t>注：必须提供承诺函。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960D3" w:rsidTr="00E93CCF">
        <w:trPr>
          <w:trHeight w:val="617"/>
          <w:jc w:val="center"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人均最高</w:t>
            </w:r>
          </w:p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保额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身故残疾赔偿限额。根据各投标人的身故残疾赔偿限额，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取最高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身故残疾赔偿限额为基准限额，按（各投标人的身故残疾赔偿限额/基准限额×11)计算相应得分。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横向比较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960D3" w:rsidTr="00E93CCF">
        <w:trPr>
          <w:trHeight w:val="753"/>
          <w:jc w:val="center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意外医疗（住院、门诊）赔偿限额。根据各投标人的意外医疗（住院、门诊）赔偿限额，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取最高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意外医疗（住院、门诊）赔偿限额为基准限额，按（各投标人的意外医疗（住院、门诊）赔偿限额/基准限额×12)计算相应得分。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横向比较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960D3" w:rsidTr="00E93CCF">
        <w:trPr>
          <w:trHeight w:val="523"/>
          <w:jc w:val="center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spacing w:line="360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住院津贴赔偿限额。根据各投标人的住院津贴赔偿限额，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取最高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住院津贴赔偿限额为基准限额，按（各投标人住院津贴赔偿限额/基准限额×11)计算相应得分。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横向比较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spacing w:line="360" w:lineRule="exact"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960D3" w:rsidTr="0067101F">
        <w:trPr>
          <w:trHeight w:val="343"/>
          <w:jc w:val="center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保费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根据各投保公司的报价，取最低报价为基准价，按（基准价/投标价×30)计算相应得分。</w:t>
            </w: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横向比较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  <w:tr w:rsidR="00C960D3" w:rsidTr="00E93CCF">
        <w:trPr>
          <w:trHeight w:val="567"/>
          <w:jc w:val="center"/>
        </w:trPr>
        <w:tc>
          <w:tcPr>
            <w:tcW w:w="2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8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:rsidR="00C960D3" w:rsidRDefault="00C960D3" w:rsidP="00E93CCF">
            <w:pPr>
              <w:widowControl/>
              <w:jc w:val="center"/>
              <w:rPr>
                <w:rFonts w:ascii="宋体" w:cs="宋体"/>
                <w:color w:val="000000"/>
                <w:kern w:val="0"/>
                <w:sz w:val="22"/>
              </w:rPr>
            </w:pPr>
          </w:p>
        </w:tc>
      </w:tr>
    </w:tbl>
    <w:p w:rsidR="00C960D3" w:rsidRPr="00D637B8" w:rsidRDefault="00C960D3" w:rsidP="009766CB">
      <w:pPr>
        <w:widowControl/>
        <w:spacing w:before="100" w:beforeAutospacing="1" w:after="100" w:afterAutospacing="1" w:line="495" w:lineRule="atLeast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C960D3" w:rsidRPr="00D637B8" w:rsidSect="00460436">
      <w:pgSz w:w="16838" w:h="11906" w:orient="landscape"/>
      <w:pgMar w:top="397" w:right="567" w:bottom="227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B62" w:rsidRDefault="00005B62" w:rsidP="00032A75">
      <w:r>
        <w:separator/>
      </w:r>
    </w:p>
  </w:endnote>
  <w:endnote w:type="continuationSeparator" w:id="0">
    <w:p w:rsidR="00005B62" w:rsidRDefault="00005B62" w:rsidP="00032A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B62" w:rsidRDefault="00005B62" w:rsidP="00032A75">
      <w:r>
        <w:separator/>
      </w:r>
    </w:p>
  </w:footnote>
  <w:footnote w:type="continuationSeparator" w:id="0">
    <w:p w:rsidR="00005B62" w:rsidRDefault="00005B62" w:rsidP="00032A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A237D"/>
    <w:rsid w:val="00005B62"/>
    <w:rsid w:val="00032A75"/>
    <w:rsid w:val="00083E63"/>
    <w:rsid w:val="00090995"/>
    <w:rsid w:val="000C581B"/>
    <w:rsid w:val="000D5E62"/>
    <w:rsid w:val="000E2728"/>
    <w:rsid w:val="001D6414"/>
    <w:rsid w:val="001E7E17"/>
    <w:rsid w:val="0021554B"/>
    <w:rsid w:val="002228B6"/>
    <w:rsid w:val="00223FDC"/>
    <w:rsid w:val="00290FE4"/>
    <w:rsid w:val="00326596"/>
    <w:rsid w:val="003348E9"/>
    <w:rsid w:val="00375CFB"/>
    <w:rsid w:val="003A4A52"/>
    <w:rsid w:val="003C482D"/>
    <w:rsid w:val="003E388B"/>
    <w:rsid w:val="00412B0B"/>
    <w:rsid w:val="00413BD7"/>
    <w:rsid w:val="00420C2E"/>
    <w:rsid w:val="00460436"/>
    <w:rsid w:val="00474437"/>
    <w:rsid w:val="00476753"/>
    <w:rsid w:val="005664BB"/>
    <w:rsid w:val="00587E15"/>
    <w:rsid w:val="005F4507"/>
    <w:rsid w:val="0064753A"/>
    <w:rsid w:val="0067101F"/>
    <w:rsid w:val="00676669"/>
    <w:rsid w:val="006B357F"/>
    <w:rsid w:val="00724F17"/>
    <w:rsid w:val="0080664E"/>
    <w:rsid w:val="00825CAA"/>
    <w:rsid w:val="00831D8F"/>
    <w:rsid w:val="008D1A23"/>
    <w:rsid w:val="008E3C2D"/>
    <w:rsid w:val="008F66E1"/>
    <w:rsid w:val="00910ACE"/>
    <w:rsid w:val="00930250"/>
    <w:rsid w:val="0097392C"/>
    <w:rsid w:val="009766CB"/>
    <w:rsid w:val="00983E63"/>
    <w:rsid w:val="00A06E67"/>
    <w:rsid w:val="00A31F84"/>
    <w:rsid w:val="00A64D7E"/>
    <w:rsid w:val="00A65B7B"/>
    <w:rsid w:val="00B2561D"/>
    <w:rsid w:val="00B27F9B"/>
    <w:rsid w:val="00BA237D"/>
    <w:rsid w:val="00C05E98"/>
    <w:rsid w:val="00C7341C"/>
    <w:rsid w:val="00C837BF"/>
    <w:rsid w:val="00C960D3"/>
    <w:rsid w:val="00CC1544"/>
    <w:rsid w:val="00CC308C"/>
    <w:rsid w:val="00D10A8A"/>
    <w:rsid w:val="00D47A20"/>
    <w:rsid w:val="00D637B8"/>
    <w:rsid w:val="00D8740F"/>
    <w:rsid w:val="00DB5C73"/>
    <w:rsid w:val="00DE54CE"/>
    <w:rsid w:val="00F1273C"/>
    <w:rsid w:val="00F51874"/>
    <w:rsid w:val="00FB41D7"/>
    <w:rsid w:val="00FF7513"/>
    <w:rsid w:val="3ADF2C79"/>
    <w:rsid w:val="45A706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40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874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rsid w:val="00D874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D8740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脚 Char"/>
    <w:link w:val="a3"/>
    <w:uiPriority w:val="99"/>
    <w:semiHidden/>
    <w:locked/>
    <w:rsid w:val="00D8740F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semiHidden/>
    <w:qFormat/>
    <w:locked/>
    <w:rsid w:val="00D8740F"/>
    <w:rPr>
      <w:rFonts w:cs="Times New Roman"/>
      <w:sz w:val="18"/>
      <w:szCs w:val="18"/>
    </w:rPr>
  </w:style>
  <w:style w:type="character" w:customStyle="1" w:styleId="font01">
    <w:name w:val="font01"/>
    <w:uiPriority w:val="99"/>
    <w:rsid w:val="00D8740F"/>
    <w:rPr>
      <w:rFonts w:ascii="宋体" w:eastAsia="宋体" w:hAnsi="宋体" w:cs="Times New Roman"/>
      <w:color w:val="000000"/>
      <w:sz w:val="22"/>
      <w:szCs w:val="22"/>
      <w:u w:val="none"/>
    </w:rPr>
  </w:style>
  <w:style w:type="character" w:customStyle="1" w:styleId="font41">
    <w:name w:val="font41"/>
    <w:uiPriority w:val="99"/>
    <w:rsid w:val="00D8740F"/>
    <w:rPr>
      <w:rFonts w:ascii="宋体" w:eastAsia="宋体" w:hAnsi="宋体" w:cs="Times New Roman"/>
      <w:b/>
      <w:bCs/>
      <w:color w:val="FF0000"/>
      <w:sz w:val="22"/>
      <w:szCs w:val="22"/>
      <w:u w:val="none"/>
    </w:rPr>
  </w:style>
  <w:style w:type="character" w:customStyle="1" w:styleId="font51">
    <w:name w:val="font51"/>
    <w:uiPriority w:val="99"/>
    <w:rsid w:val="00D8740F"/>
    <w:rPr>
      <w:rFonts w:ascii="宋体" w:eastAsia="宋体" w:hAnsi="宋体" w:cs="Times New Roman"/>
      <w:color w:val="00000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240</Words>
  <Characters>1373</Characters>
  <Application>Microsoft Office Word</Application>
  <DocSecurity>0</DocSecurity>
  <Lines>11</Lines>
  <Paragraphs>3</Paragraphs>
  <ScaleCrop>false</ScaleCrop>
  <Company>Microsoft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岁卫星</dc:creator>
  <cp:lastModifiedBy>luocaiwen</cp:lastModifiedBy>
  <cp:revision>65</cp:revision>
  <dcterms:created xsi:type="dcterms:W3CDTF">2017-02-27T00:41:00Z</dcterms:created>
  <dcterms:modified xsi:type="dcterms:W3CDTF">2020-01-06T07:25:00Z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