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outlineLvl w:val="0"/>
        <w:rPr>
          <w:rFonts w:ascii="黑体" w:hAnsi="黑体" w:eastAsia="黑体" w:cs="黑体"/>
          <w:b/>
          <w:bCs/>
          <w:sz w:val="28"/>
          <w:szCs w:val="28"/>
        </w:rPr>
      </w:pPr>
      <w:r>
        <w:rPr>
          <w:rFonts w:hint="eastAsia" w:ascii="黑体" w:hAnsi="黑体" w:eastAsia="黑体" w:cs="黑体"/>
          <w:b/>
          <w:bCs/>
          <w:sz w:val="28"/>
          <w:szCs w:val="28"/>
        </w:rPr>
        <w:t>附件1：</w:t>
      </w:r>
    </w:p>
    <w:p>
      <w:pPr>
        <w:snapToGrid w:val="0"/>
        <w:spacing w:line="360" w:lineRule="auto"/>
        <w:jc w:val="center"/>
        <w:outlineLvl w:val="0"/>
        <w:rPr>
          <w:rFonts w:ascii="黑体" w:hAnsi="黑体" w:eastAsia="黑体"/>
          <w:b/>
          <w:sz w:val="28"/>
          <w:szCs w:val="28"/>
        </w:rPr>
      </w:pPr>
      <w:r>
        <w:rPr>
          <w:rFonts w:hint="eastAsia" w:ascii="黑体" w:hAnsi="黑体" w:eastAsia="黑体"/>
          <w:b/>
          <w:sz w:val="28"/>
          <w:szCs w:val="28"/>
        </w:rPr>
        <w:t>消防器材设施购置及安装采购项目用户需求书</w:t>
      </w:r>
    </w:p>
    <w:p>
      <w:pPr>
        <w:snapToGrid w:val="0"/>
        <w:spacing w:line="360" w:lineRule="auto"/>
        <w:jc w:val="center"/>
        <w:outlineLvl w:val="0"/>
        <w:rPr>
          <w:rFonts w:ascii="黑体" w:hAnsi="黑体" w:eastAsia="黑体" w:cs="黑体"/>
          <w:bCs/>
          <w:sz w:val="28"/>
          <w:szCs w:val="28"/>
        </w:rPr>
      </w:pPr>
    </w:p>
    <w:p>
      <w:pPr>
        <w:snapToGrid w:val="0"/>
        <w:spacing w:line="360" w:lineRule="auto"/>
        <w:ind w:firstLine="562" w:firstLineChars="200"/>
        <w:outlineLvl w:val="0"/>
        <w:rPr>
          <w:rFonts w:ascii="黑体" w:hAnsi="黑体" w:eastAsia="黑体" w:cs="黑体"/>
          <w:b/>
          <w:bCs/>
          <w:sz w:val="28"/>
          <w:szCs w:val="28"/>
        </w:rPr>
      </w:pPr>
      <w:r>
        <w:rPr>
          <w:rFonts w:hint="eastAsia" w:ascii="黑体" w:hAnsi="黑体" w:eastAsia="黑体" w:cs="黑体"/>
          <w:b/>
          <w:bCs/>
          <w:sz w:val="28"/>
          <w:szCs w:val="28"/>
        </w:rPr>
        <w:t>一、项目情况一览表</w:t>
      </w:r>
    </w:p>
    <w:tbl>
      <w:tblPr>
        <w:tblStyle w:val="11"/>
        <w:tblW w:w="8566" w:type="dxa"/>
        <w:jc w:val="center"/>
        <w:tblInd w:w="-148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805"/>
        <w:gridCol w:w="3485"/>
        <w:gridCol w:w="22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2037" w:type="dxa"/>
            <w:tcBorders>
              <w:top w:val="single" w:color="auto" w:sz="12" w:space="0"/>
              <w:bottom w:val="double" w:color="auto" w:sz="4" w:space="0"/>
            </w:tcBorders>
            <w:shd w:val="clear" w:color="auto" w:fill="EEECE1"/>
            <w:vAlign w:val="center"/>
          </w:tcPr>
          <w:p>
            <w:pPr>
              <w:spacing w:line="360" w:lineRule="auto"/>
              <w:ind w:left="-393" w:leftChars="-187" w:firstLine="446" w:firstLineChars="186"/>
              <w:jc w:val="center"/>
              <w:rPr>
                <w:rFonts w:ascii="仿宋" w:hAnsi="仿宋" w:eastAsia="仿宋" w:cs="仿宋"/>
                <w:bCs/>
                <w:sz w:val="24"/>
                <w:szCs w:val="24"/>
              </w:rPr>
            </w:pPr>
            <w:r>
              <w:rPr>
                <w:rFonts w:hint="eastAsia" w:ascii="仿宋" w:hAnsi="仿宋" w:eastAsia="仿宋" w:cs="仿宋"/>
                <w:bCs/>
                <w:sz w:val="24"/>
                <w:szCs w:val="24"/>
              </w:rPr>
              <w:t>采购内容</w:t>
            </w:r>
          </w:p>
        </w:tc>
        <w:tc>
          <w:tcPr>
            <w:tcW w:w="805" w:type="dxa"/>
            <w:tcBorders>
              <w:top w:val="single" w:color="auto" w:sz="12" w:space="0"/>
              <w:bottom w:val="double" w:color="auto" w:sz="4" w:space="0"/>
            </w:tcBorders>
            <w:shd w:val="clear" w:color="auto" w:fill="EEECE1"/>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数量</w:t>
            </w:r>
          </w:p>
        </w:tc>
        <w:tc>
          <w:tcPr>
            <w:tcW w:w="3485" w:type="dxa"/>
            <w:tcBorders>
              <w:top w:val="single" w:color="auto" w:sz="12" w:space="0"/>
              <w:bottom w:val="double" w:color="auto" w:sz="4" w:space="0"/>
            </w:tcBorders>
            <w:shd w:val="clear" w:color="auto" w:fill="EEECE1"/>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交货期</w:t>
            </w:r>
          </w:p>
        </w:tc>
        <w:tc>
          <w:tcPr>
            <w:tcW w:w="2239" w:type="dxa"/>
            <w:tcBorders>
              <w:top w:val="single" w:color="auto" w:sz="12" w:space="0"/>
              <w:bottom w:val="double" w:color="auto" w:sz="4" w:space="0"/>
            </w:tcBorders>
            <w:shd w:val="clear" w:color="auto" w:fill="EEECE1"/>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2037" w:type="dxa"/>
            <w:tcBorders>
              <w:top w:val="single" w:color="auto" w:sz="4" w:space="0"/>
            </w:tcBorders>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购置消防器材设施及安装</w:t>
            </w:r>
          </w:p>
        </w:tc>
        <w:tc>
          <w:tcPr>
            <w:tcW w:w="805" w:type="dxa"/>
            <w:tcBorders>
              <w:top w:val="single" w:color="auto" w:sz="4" w:space="0"/>
            </w:tcBorders>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一批</w:t>
            </w:r>
          </w:p>
        </w:tc>
        <w:tc>
          <w:tcPr>
            <w:tcW w:w="3485" w:type="dxa"/>
            <w:tcBorders>
              <w:top w:val="single" w:color="auto" w:sz="4" w:space="0"/>
            </w:tcBorders>
            <w:vAlign w:val="center"/>
          </w:tcPr>
          <w:p>
            <w:pPr>
              <w:pStyle w:val="12"/>
              <w:spacing w:line="440" w:lineRule="exact"/>
              <w:ind w:firstLine="120"/>
              <w:rPr>
                <w:rFonts w:ascii="仿宋" w:hAnsi="仿宋" w:eastAsia="仿宋" w:cs="仿宋"/>
                <w:bCs/>
                <w:snapToGrid/>
                <w:spacing w:val="0"/>
                <w:kern w:val="2"/>
                <w:szCs w:val="24"/>
              </w:rPr>
            </w:pPr>
            <w:r>
              <w:rPr>
                <w:rFonts w:hint="eastAsia" w:ascii="仿宋" w:hAnsi="仿宋" w:eastAsia="仿宋" w:cs="仿宋"/>
                <w:bCs/>
                <w:snapToGrid/>
                <w:spacing w:val="0"/>
                <w:kern w:val="2"/>
                <w:szCs w:val="24"/>
              </w:rPr>
              <w:t>合同生效后</w:t>
            </w:r>
            <w:r>
              <w:rPr>
                <w:rFonts w:hint="eastAsia" w:ascii="仿宋" w:hAnsi="仿宋" w:eastAsia="仿宋" w:cs="仿宋"/>
                <w:bCs/>
                <w:snapToGrid/>
                <w:color w:val="auto"/>
                <w:spacing w:val="0"/>
                <w:kern w:val="2"/>
                <w:szCs w:val="24"/>
                <w:u w:val="single"/>
              </w:rPr>
              <w:t>20</w:t>
            </w:r>
            <w:r>
              <w:rPr>
                <w:rFonts w:hint="eastAsia" w:ascii="仿宋" w:hAnsi="仿宋" w:eastAsia="仿宋" w:cs="仿宋"/>
                <w:bCs/>
                <w:snapToGrid/>
                <w:spacing w:val="0"/>
                <w:kern w:val="2"/>
                <w:szCs w:val="24"/>
              </w:rPr>
              <w:t>日历天内完成交货、安装、更换、验收并交付使用</w:t>
            </w:r>
          </w:p>
        </w:tc>
        <w:tc>
          <w:tcPr>
            <w:tcW w:w="2239" w:type="dxa"/>
            <w:tcBorders>
              <w:top w:val="single" w:color="auto" w:sz="4" w:space="0"/>
            </w:tcBorders>
            <w:vAlign w:val="center"/>
          </w:tcPr>
          <w:p>
            <w:pPr>
              <w:pStyle w:val="12"/>
              <w:spacing w:line="440" w:lineRule="exact"/>
              <w:rPr>
                <w:rFonts w:ascii="仿宋" w:hAnsi="仿宋" w:eastAsia="仿宋" w:cs="仿宋"/>
                <w:bCs/>
                <w:snapToGrid/>
                <w:spacing w:val="0"/>
                <w:kern w:val="2"/>
                <w:szCs w:val="24"/>
              </w:rPr>
            </w:pPr>
            <w:r>
              <w:rPr>
                <w:rFonts w:hint="eastAsia" w:ascii="仿宋" w:hAnsi="仿宋" w:eastAsia="仿宋" w:cs="仿宋"/>
                <w:bCs/>
                <w:snapToGrid/>
                <w:spacing w:val="0"/>
                <w:kern w:val="2"/>
                <w:szCs w:val="24"/>
              </w:rPr>
              <w:t>人民币</w:t>
            </w:r>
            <w:r>
              <w:rPr>
                <w:rFonts w:hint="eastAsia" w:ascii="仿宋" w:hAnsi="仿宋" w:eastAsia="仿宋" w:cs="仿宋"/>
                <w:bCs/>
                <w:snapToGrid/>
                <w:spacing w:val="0"/>
                <w:kern w:val="2"/>
                <w:szCs w:val="24"/>
                <w:u w:val="single"/>
              </w:rPr>
              <w:t>23631.00</w:t>
            </w:r>
            <w:r>
              <w:rPr>
                <w:rFonts w:hint="eastAsia" w:ascii="仿宋" w:hAnsi="仿宋" w:eastAsia="仿宋" w:cs="仿宋"/>
                <w:bCs/>
                <w:snapToGrid/>
                <w:spacing w:val="0"/>
                <w:kern w:val="2"/>
                <w:szCs w:val="24"/>
              </w:rPr>
              <w:t>元</w:t>
            </w:r>
          </w:p>
        </w:tc>
      </w:tr>
    </w:tbl>
    <w:p>
      <w:pPr>
        <w:pStyle w:val="5"/>
        <w:adjustRightInd w:val="0"/>
        <w:snapToGrid w:val="0"/>
        <w:spacing w:line="360" w:lineRule="auto"/>
        <w:ind w:firstLine="560" w:firstLineChars="200"/>
        <w:rPr>
          <w:rFonts w:ascii="黑体" w:hAnsi="黑体" w:eastAsia="黑体" w:cs="黑体"/>
          <w:sz w:val="28"/>
          <w:szCs w:val="28"/>
        </w:rPr>
      </w:pPr>
      <w:r>
        <w:rPr>
          <w:rFonts w:hint="eastAsia" w:ascii="黑体" w:hAnsi="黑体" w:eastAsia="黑体" w:cs="黑体"/>
          <w:sz w:val="28"/>
          <w:szCs w:val="28"/>
        </w:rPr>
        <w:t>二、产品清单、技术参数及规格要求</w:t>
      </w:r>
    </w:p>
    <w:p>
      <w:pPr>
        <w:pStyle w:val="5"/>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（一）消防器材采购清单、技术参数及规格要求</w:t>
      </w:r>
    </w:p>
    <w:tbl>
      <w:tblPr>
        <w:tblStyle w:val="11"/>
        <w:tblW w:w="872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
      <w:tblGrid>
        <w:gridCol w:w="528"/>
        <w:gridCol w:w="1286"/>
        <w:gridCol w:w="4370"/>
        <w:gridCol w:w="466"/>
        <w:gridCol w:w="990"/>
        <w:gridCol w:w="10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510" w:hRule="atLeast"/>
        </w:trPr>
        <w:tc>
          <w:tcPr>
            <w:tcW w:w="528" w:type="dxa"/>
            <w:shd w:val="clear" w:color="auto" w:fill="auto"/>
            <w:vAlign w:val="center"/>
          </w:tcPr>
          <w:p>
            <w:pPr>
              <w:widowControl/>
              <w:jc w:val="center"/>
              <w:textAlignment w:val="center"/>
              <w:rPr>
                <w:rFonts w:ascii="新宋体" w:hAnsi="新宋体" w:eastAsia="新宋体" w:cs="新宋体"/>
                <w:b/>
                <w:sz w:val="24"/>
                <w:szCs w:val="24"/>
              </w:rPr>
            </w:pPr>
            <w:r>
              <w:rPr>
                <w:rFonts w:hint="eastAsia" w:ascii="新宋体" w:hAnsi="新宋体" w:eastAsia="新宋体" w:cs="新宋体"/>
                <w:b/>
                <w:sz w:val="24"/>
                <w:szCs w:val="24"/>
              </w:rPr>
              <w:t>序号</w:t>
            </w:r>
          </w:p>
        </w:tc>
        <w:tc>
          <w:tcPr>
            <w:tcW w:w="1286" w:type="dxa"/>
            <w:shd w:val="clear" w:color="auto" w:fill="auto"/>
            <w:vAlign w:val="center"/>
          </w:tcPr>
          <w:p>
            <w:pPr>
              <w:widowControl/>
              <w:jc w:val="center"/>
              <w:textAlignment w:val="center"/>
              <w:rPr>
                <w:rFonts w:ascii="新宋体" w:hAnsi="新宋体" w:eastAsia="新宋体" w:cs="新宋体"/>
                <w:b/>
                <w:sz w:val="24"/>
                <w:szCs w:val="24"/>
              </w:rPr>
            </w:pPr>
            <w:r>
              <w:rPr>
                <w:rFonts w:hint="eastAsia" w:ascii="新宋体" w:hAnsi="新宋体" w:eastAsia="新宋体" w:cs="新宋体"/>
                <w:b/>
                <w:sz w:val="24"/>
                <w:szCs w:val="24"/>
              </w:rPr>
              <w:t>器材名称</w:t>
            </w:r>
          </w:p>
        </w:tc>
        <w:tc>
          <w:tcPr>
            <w:tcW w:w="4370" w:type="dxa"/>
            <w:shd w:val="clear" w:color="auto" w:fill="auto"/>
            <w:vAlign w:val="center"/>
          </w:tcPr>
          <w:p>
            <w:pPr>
              <w:widowControl/>
              <w:jc w:val="center"/>
              <w:textAlignment w:val="center"/>
              <w:rPr>
                <w:rFonts w:ascii="新宋体" w:hAnsi="新宋体" w:eastAsia="新宋体" w:cs="新宋体"/>
                <w:b/>
                <w:sz w:val="24"/>
                <w:szCs w:val="24"/>
              </w:rPr>
            </w:pPr>
            <w:r>
              <w:rPr>
                <w:rFonts w:hint="eastAsia" w:ascii="新宋体" w:hAnsi="新宋体" w:eastAsia="新宋体" w:cs="新宋体"/>
                <w:b/>
                <w:sz w:val="24"/>
                <w:szCs w:val="24"/>
              </w:rPr>
              <w:t>规格</w:t>
            </w:r>
          </w:p>
        </w:tc>
        <w:tc>
          <w:tcPr>
            <w:tcW w:w="466" w:type="dxa"/>
            <w:shd w:val="clear" w:color="auto" w:fill="auto"/>
            <w:vAlign w:val="center"/>
          </w:tcPr>
          <w:p>
            <w:pPr>
              <w:widowControl/>
              <w:jc w:val="center"/>
              <w:textAlignment w:val="center"/>
              <w:rPr>
                <w:rFonts w:ascii="新宋体" w:hAnsi="新宋体" w:eastAsia="新宋体" w:cs="新宋体"/>
                <w:b/>
                <w:sz w:val="24"/>
                <w:szCs w:val="24"/>
              </w:rPr>
            </w:pPr>
            <w:r>
              <w:rPr>
                <w:rFonts w:hint="eastAsia" w:ascii="新宋体" w:hAnsi="新宋体" w:eastAsia="新宋体" w:cs="新宋体"/>
                <w:b/>
                <w:sz w:val="24"/>
                <w:szCs w:val="24"/>
              </w:rPr>
              <w:t>单位</w:t>
            </w:r>
          </w:p>
        </w:tc>
        <w:tc>
          <w:tcPr>
            <w:tcW w:w="990" w:type="dxa"/>
            <w:shd w:val="clear" w:color="auto" w:fill="auto"/>
            <w:vAlign w:val="center"/>
          </w:tcPr>
          <w:p>
            <w:pPr>
              <w:widowControl/>
              <w:jc w:val="center"/>
              <w:textAlignment w:val="center"/>
              <w:rPr>
                <w:rFonts w:ascii="新宋体" w:hAnsi="新宋体" w:eastAsia="新宋体" w:cs="新宋体"/>
                <w:b/>
                <w:sz w:val="24"/>
                <w:szCs w:val="24"/>
              </w:rPr>
            </w:pPr>
            <w:r>
              <w:rPr>
                <w:rFonts w:hint="eastAsia" w:ascii="新宋体" w:hAnsi="新宋体" w:eastAsia="新宋体" w:cs="新宋体"/>
                <w:b/>
                <w:sz w:val="24"/>
                <w:szCs w:val="24"/>
              </w:rPr>
              <w:t>数量</w:t>
            </w:r>
          </w:p>
        </w:tc>
        <w:tc>
          <w:tcPr>
            <w:tcW w:w="1080" w:type="dxa"/>
            <w:shd w:val="clear" w:color="auto" w:fill="auto"/>
            <w:vAlign w:val="center"/>
          </w:tcPr>
          <w:p>
            <w:pPr>
              <w:widowControl/>
              <w:jc w:val="center"/>
              <w:textAlignment w:val="center"/>
              <w:rPr>
                <w:rFonts w:ascii="新宋体" w:hAnsi="新宋体" w:eastAsia="新宋体" w:cs="新宋体"/>
                <w:b/>
                <w:sz w:val="24"/>
                <w:szCs w:val="24"/>
              </w:rPr>
            </w:pPr>
            <w:r>
              <w:rPr>
                <w:rFonts w:hint="eastAsia" w:ascii="新宋体" w:hAnsi="新宋体" w:eastAsia="新宋体" w:cs="新宋体"/>
                <w:b/>
                <w:sz w:val="24"/>
                <w:szCs w:val="24"/>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1992" w:hRule="atLeast"/>
        </w:trPr>
        <w:tc>
          <w:tcPr>
            <w:tcW w:w="528"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1</w:t>
            </w:r>
          </w:p>
        </w:tc>
        <w:tc>
          <w:tcPr>
            <w:tcW w:w="1286" w:type="dxa"/>
            <w:shd w:val="clear" w:color="auto" w:fill="auto"/>
            <w:vAlign w:val="center"/>
          </w:tcPr>
          <w:p>
            <w:pPr>
              <w:spacing w:line="360" w:lineRule="auto"/>
              <w:ind w:left="65" w:leftChars="31" w:right="132" w:rightChars="63"/>
              <w:jc w:val="center"/>
              <w:rPr>
                <w:rFonts w:ascii="仿宋" w:hAnsi="仿宋" w:eastAsia="仿宋" w:cs="仿宋"/>
                <w:bCs/>
                <w:sz w:val="24"/>
                <w:szCs w:val="24"/>
              </w:rPr>
            </w:pPr>
            <w:r>
              <w:rPr>
                <w:rFonts w:hint="eastAsia" w:ascii="仿宋" w:hAnsi="仿宋" w:eastAsia="仿宋" w:cs="仿宋"/>
                <w:color w:val="000000"/>
                <w:sz w:val="24"/>
                <w:szCs w:val="24"/>
              </w:rPr>
              <w:t>灭火器</w:t>
            </w:r>
          </w:p>
        </w:tc>
        <w:tc>
          <w:tcPr>
            <w:tcW w:w="437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shd w:val="clear" w:color="auto" w:fill="FFFFFF"/>
              </w:rPr>
              <w:t>类型: MFZ/ABC4，4公斤干粉灭火器，净重4KG,毛重6.2KG,高48.5CM,直径13.1CM,使用方式: 手持式，灭火剂类型: 干粉，保质期：5年，瓶身为防腐材料，罐体期限，10年，射程最远可达5M,使用范围：A/B/C/E类火灾，</w:t>
            </w:r>
          </w:p>
        </w:tc>
        <w:tc>
          <w:tcPr>
            <w:tcW w:w="46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瓶</w:t>
            </w:r>
          </w:p>
        </w:tc>
        <w:tc>
          <w:tcPr>
            <w:tcW w:w="99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35</w:t>
            </w:r>
          </w:p>
        </w:tc>
        <w:tc>
          <w:tcPr>
            <w:tcW w:w="108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shd w:val="clear" w:color="auto" w:fill="FFFFFF"/>
              </w:rPr>
              <w:t>按指定位置摆放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1239" w:hRule="atLeast"/>
        </w:trPr>
        <w:tc>
          <w:tcPr>
            <w:tcW w:w="528"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2</w:t>
            </w:r>
          </w:p>
        </w:tc>
        <w:tc>
          <w:tcPr>
            <w:tcW w:w="128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落地式灭火器箱</w:t>
            </w:r>
          </w:p>
        </w:tc>
        <w:tc>
          <w:tcPr>
            <w:tcW w:w="437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类型：4公斤2瓶装（空箱），高度55CM,箱体颜色：红色，材质：铁皮，</w:t>
            </w:r>
            <w:r>
              <w:rPr>
                <w:rFonts w:hint="eastAsia" w:ascii="仿宋" w:hAnsi="仿宋" w:eastAsia="仿宋" w:cs="仿宋"/>
                <w:bCs/>
                <w:sz w:val="24"/>
                <w:szCs w:val="24"/>
                <w:lang w:eastAsia="zh-CN"/>
              </w:rPr>
              <w:t>金属合页</w:t>
            </w:r>
            <w:r>
              <w:rPr>
                <w:rFonts w:hint="eastAsia" w:ascii="仿宋" w:hAnsi="仿宋" w:eastAsia="仿宋" w:cs="仿宋"/>
                <w:bCs/>
                <w:sz w:val="24"/>
                <w:szCs w:val="24"/>
              </w:rPr>
              <w:t>，</w:t>
            </w:r>
            <w:r>
              <w:rPr>
                <w:rFonts w:hint="eastAsia" w:ascii="仿宋" w:hAnsi="仿宋" w:eastAsia="仿宋" w:cs="仿宋"/>
                <w:bCs/>
                <w:sz w:val="24"/>
                <w:szCs w:val="24"/>
                <w:lang w:eastAsia="zh-CN"/>
              </w:rPr>
              <w:t>耐磨不易生锈，</w:t>
            </w:r>
            <w:r>
              <w:rPr>
                <w:rFonts w:hint="eastAsia" w:ascii="仿宋" w:hAnsi="仿宋" w:eastAsia="仿宋" w:cs="仿宋"/>
                <w:bCs/>
                <w:sz w:val="24"/>
                <w:szCs w:val="24"/>
              </w:rPr>
              <w:t>带</w:t>
            </w:r>
            <w:r>
              <w:rPr>
                <w:rFonts w:hint="eastAsia" w:ascii="仿宋" w:hAnsi="仿宋" w:eastAsia="仿宋" w:cs="仿宋"/>
                <w:color w:val="000000"/>
                <w:sz w:val="24"/>
                <w:szCs w:val="24"/>
              </w:rPr>
              <w:t>喷绘灭火器使用操作流程</w:t>
            </w:r>
          </w:p>
        </w:tc>
        <w:tc>
          <w:tcPr>
            <w:tcW w:w="46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个</w:t>
            </w:r>
          </w:p>
        </w:tc>
        <w:tc>
          <w:tcPr>
            <w:tcW w:w="99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25</w:t>
            </w:r>
          </w:p>
        </w:tc>
        <w:tc>
          <w:tcPr>
            <w:tcW w:w="108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按学院指定位置更换摆放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2130" w:hRule="atLeast"/>
        </w:trPr>
        <w:tc>
          <w:tcPr>
            <w:tcW w:w="528"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3</w:t>
            </w:r>
          </w:p>
        </w:tc>
        <w:tc>
          <w:tcPr>
            <w:tcW w:w="128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安全出口指示牌</w:t>
            </w:r>
          </w:p>
        </w:tc>
        <w:tc>
          <w:tcPr>
            <w:tcW w:w="437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技术参数：光源;LED; 亮度：&gt;50cd/m2,安装方式：吊挂带插头；尺寸：350*138*36；应急时间：&gt;90min,防护等级：IP30，（单面向左20个，安全出口10个，单面双向10个，双面单向15个）</w:t>
            </w:r>
          </w:p>
        </w:tc>
        <w:tc>
          <w:tcPr>
            <w:tcW w:w="46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个</w:t>
            </w:r>
          </w:p>
        </w:tc>
        <w:tc>
          <w:tcPr>
            <w:tcW w:w="99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55</w:t>
            </w:r>
          </w:p>
        </w:tc>
        <w:tc>
          <w:tcPr>
            <w:tcW w:w="108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部分疏散指示牌需指定位置更换摆放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1809" w:hRule="atLeast"/>
        </w:trPr>
        <w:tc>
          <w:tcPr>
            <w:tcW w:w="528"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4</w:t>
            </w:r>
          </w:p>
        </w:tc>
        <w:tc>
          <w:tcPr>
            <w:tcW w:w="128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sz w:val="24"/>
                <w:szCs w:val="24"/>
              </w:rPr>
              <w:t>消火栓箱</w:t>
            </w:r>
          </w:p>
        </w:tc>
        <w:tc>
          <w:tcPr>
            <w:tcW w:w="437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尺寸规格： KD50型号 ，材料：冷轧板、铝合金、不透明有机板，厚度：0.5mm （纯铁板厚度，不含喷涂物增加的厚度），箱体颜色：红色，带消防栓使用操作流程图，</w:t>
            </w:r>
          </w:p>
        </w:tc>
        <w:tc>
          <w:tcPr>
            <w:tcW w:w="46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个</w:t>
            </w:r>
          </w:p>
        </w:tc>
        <w:tc>
          <w:tcPr>
            <w:tcW w:w="99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4</w:t>
            </w:r>
          </w:p>
        </w:tc>
        <w:tc>
          <w:tcPr>
            <w:tcW w:w="108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按指定位置更换摆放，包卸装工程</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480" w:hRule="atLeast"/>
        </w:trPr>
        <w:tc>
          <w:tcPr>
            <w:tcW w:w="528"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5</w:t>
            </w:r>
          </w:p>
        </w:tc>
        <w:tc>
          <w:tcPr>
            <w:tcW w:w="128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应急照明灯</w:t>
            </w:r>
          </w:p>
        </w:tc>
        <w:tc>
          <w:tcPr>
            <w:tcW w:w="437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shd w:val="clear" w:color="auto" w:fill="FFFFFF"/>
              </w:rPr>
              <w:t>输入电压：AC220V±10% 50HZ，应急功率：≤2W（省电）使用光源：LED发光二极管，应急转换时间：≤5秒，应急时间：＞90分钟外壳防护等级：IP30使用周围空气相对湿度：＜90%，电池型号及规格1.2V800mAh</w:t>
            </w:r>
          </w:p>
        </w:tc>
        <w:tc>
          <w:tcPr>
            <w:tcW w:w="466" w:type="dxa"/>
            <w:shd w:val="clear" w:color="auto" w:fill="auto"/>
            <w:vAlign w:val="center"/>
          </w:tcPr>
          <w:p>
            <w:pPr>
              <w:shd w:val="clear" w:color="auto" w:fill="FFFFFF"/>
              <w:spacing w:line="360" w:lineRule="auto"/>
              <w:jc w:val="center"/>
              <w:outlineLvl w:val="0"/>
              <w:rPr>
                <w:rFonts w:ascii="仿宋" w:hAnsi="仿宋" w:eastAsia="仿宋" w:cs="仿宋"/>
                <w:bCs/>
                <w:sz w:val="24"/>
                <w:szCs w:val="24"/>
              </w:rPr>
            </w:pPr>
            <w:r>
              <w:rPr>
                <w:rFonts w:hint="eastAsia" w:ascii="仿宋" w:hAnsi="仿宋" w:eastAsia="仿宋" w:cs="仿宋"/>
                <w:bCs/>
                <w:sz w:val="24"/>
                <w:szCs w:val="24"/>
              </w:rPr>
              <w:t>盏</w:t>
            </w:r>
          </w:p>
        </w:tc>
        <w:tc>
          <w:tcPr>
            <w:tcW w:w="99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80</w:t>
            </w:r>
          </w:p>
        </w:tc>
        <w:tc>
          <w:tcPr>
            <w:tcW w:w="108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shd w:val="clear" w:color="auto" w:fill="FFFFFF"/>
              </w:rPr>
              <w:t>部分应急照明灯按指定位置更换</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850" w:hRule="atLeast"/>
        </w:trPr>
        <w:tc>
          <w:tcPr>
            <w:tcW w:w="528"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6</w:t>
            </w:r>
          </w:p>
        </w:tc>
        <w:tc>
          <w:tcPr>
            <w:tcW w:w="128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铝合金人字梯</w:t>
            </w:r>
          </w:p>
        </w:tc>
        <w:tc>
          <w:tcPr>
            <w:tcW w:w="4370" w:type="dxa"/>
            <w:shd w:val="clear" w:color="auto" w:fill="auto"/>
            <w:vAlign w:val="center"/>
          </w:tcPr>
          <w:p>
            <w:pPr>
              <w:shd w:val="clear" w:color="auto" w:fill="FFFFFF"/>
              <w:spacing w:line="360" w:lineRule="auto"/>
              <w:jc w:val="center"/>
              <w:outlineLvl w:val="0"/>
              <w:rPr>
                <w:rFonts w:ascii="仿宋" w:hAnsi="仿宋" w:eastAsia="仿宋" w:cs="仿宋"/>
                <w:bCs/>
                <w:sz w:val="24"/>
                <w:szCs w:val="24"/>
              </w:rPr>
            </w:pPr>
            <w:r>
              <w:rPr>
                <w:rFonts w:hint="eastAsia" w:ascii="仿宋" w:hAnsi="仿宋" w:eastAsia="仿宋" w:cs="仿宋"/>
                <w:color w:val="000000"/>
                <w:sz w:val="24"/>
                <w:szCs w:val="24"/>
                <w:shd w:val="clear" w:color="auto" w:fill="FFFFFF"/>
              </w:rPr>
              <w:t>梯类型: 双侧梯，材质: 铝合金，踏板数: 四步梯，绝缘性: 非绝缘，承重等级: 150kg，</w:t>
            </w:r>
            <w:r>
              <w:rPr>
                <w:rFonts w:hint="eastAsia" w:ascii="仿宋" w:hAnsi="仿宋" w:eastAsia="仿宋" w:cs="仿宋"/>
                <w:color w:val="000000"/>
                <w:sz w:val="24"/>
                <w:szCs w:val="24"/>
              </w:rPr>
              <w:t>1.5米加厚款</w:t>
            </w:r>
          </w:p>
        </w:tc>
        <w:tc>
          <w:tcPr>
            <w:tcW w:w="46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把</w:t>
            </w:r>
          </w:p>
        </w:tc>
        <w:tc>
          <w:tcPr>
            <w:tcW w:w="99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1</w:t>
            </w:r>
          </w:p>
        </w:tc>
        <w:tc>
          <w:tcPr>
            <w:tcW w:w="108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按指定位置摆放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779" w:hRule="atLeast"/>
        </w:trPr>
        <w:tc>
          <w:tcPr>
            <w:tcW w:w="528"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7</w:t>
            </w:r>
          </w:p>
        </w:tc>
        <w:tc>
          <w:tcPr>
            <w:tcW w:w="128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sz w:val="24"/>
                <w:szCs w:val="24"/>
              </w:rPr>
              <w:t>过滤式消防自救呼吸器</w:t>
            </w:r>
          </w:p>
        </w:tc>
        <w:tc>
          <w:tcPr>
            <w:tcW w:w="4370" w:type="dxa"/>
            <w:shd w:val="clear" w:color="auto" w:fill="auto"/>
            <w:vAlign w:val="center"/>
          </w:tcPr>
          <w:p>
            <w:pPr>
              <w:shd w:val="clear" w:color="auto" w:fill="FFFFFF"/>
              <w:spacing w:line="360" w:lineRule="auto"/>
              <w:jc w:val="center"/>
              <w:outlineLvl w:val="0"/>
              <w:rPr>
                <w:rFonts w:ascii="仿宋" w:hAnsi="仿宋" w:eastAsia="仿宋" w:cs="仿宋"/>
                <w:bCs/>
                <w:sz w:val="24"/>
                <w:szCs w:val="24"/>
              </w:rPr>
            </w:pPr>
            <w:r>
              <w:rPr>
                <w:rFonts w:hint="eastAsia" w:ascii="仿宋" w:hAnsi="仿宋" w:eastAsia="仿宋" w:cs="仿宋"/>
                <w:bCs/>
                <w:sz w:val="24"/>
                <w:szCs w:val="24"/>
              </w:rPr>
              <w:t>技术参数：阻燃材料，175mm*80mm视野，油雾透过系数&lt;5%,防HCN（浓度0.04%）&gt;30min,防CO（浓度0.25%）&gt;30min，有效时间30分钟，过滤效果达95%</w:t>
            </w:r>
          </w:p>
        </w:tc>
        <w:tc>
          <w:tcPr>
            <w:tcW w:w="46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具</w:t>
            </w:r>
          </w:p>
        </w:tc>
        <w:tc>
          <w:tcPr>
            <w:tcW w:w="99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70</w:t>
            </w:r>
          </w:p>
        </w:tc>
        <w:tc>
          <w:tcPr>
            <w:tcW w:w="108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按指定位置更换摆放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1767" w:hRule="atLeast"/>
        </w:trPr>
        <w:tc>
          <w:tcPr>
            <w:tcW w:w="528"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8</w:t>
            </w:r>
          </w:p>
        </w:tc>
        <w:tc>
          <w:tcPr>
            <w:tcW w:w="128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sz w:val="24"/>
                <w:szCs w:val="24"/>
              </w:rPr>
              <w:t>独立式光电感烟火灾探测报警器</w:t>
            </w:r>
          </w:p>
        </w:tc>
        <w:tc>
          <w:tcPr>
            <w:tcW w:w="4370" w:type="dxa"/>
            <w:shd w:val="clear" w:color="auto" w:fill="auto"/>
            <w:vAlign w:val="center"/>
          </w:tcPr>
          <w:p>
            <w:pPr>
              <w:shd w:val="clear" w:color="auto" w:fill="FFFFFF"/>
              <w:spacing w:line="360" w:lineRule="auto"/>
              <w:jc w:val="center"/>
              <w:outlineLvl w:val="0"/>
              <w:rPr>
                <w:rFonts w:ascii="仿宋" w:hAnsi="仿宋" w:eastAsia="仿宋" w:cs="仿宋"/>
                <w:bCs/>
                <w:sz w:val="24"/>
                <w:szCs w:val="24"/>
              </w:rPr>
            </w:pPr>
            <w:r>
              <w:rPr>
                <w:rFonts w:hint="eastAsia" w:ascii="仿宋" w:hAnsi="仿宋" w:eastAsia="仿宋" w:cs="仿宋"/>
                <w:bCs/>
                <w:sz w:val="24"/>
                <w:szCs w:val="24"/>
              </w:rPr>
              <w:t>技术参数：传感技术：火电感烟，最大互联数量：10个，声警报输出&gt;85dB@3米，电池使用年限：10年，通过国家消防强制性产品认证，产品标准：GB20517-2006，工作电压;3V，工作温度-10摄氏度~+60摄氏度，工作湿度：10%~90%(无凝露,不结冰)，尺寸：102mm×102mm×36mm，重量：165g</w:t>
            </w:r>
          </w:p>
        </w:tc>
        <w:tc>
          <w:tcPr>
            <w:tcW w:w="46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个</w:t>
            </w:r>
          </w:p>
        </w:tc>
        <w:tc>
          <w:tcPr>
            <w:tcW w:w="99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30</w:t>
            </w:r>
          </w:p>
        </w:tc>
        <w:tc>
          <w:tcPr>
            <w:tcW w:w="108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按指定位置包安装使用到位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982" w:hRule="atLeast"/>
        </w:trPr>
        <w:tc>
          <w:tcPr>
            <w:tcW w:w="528"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9</w:t>
            </w:r>
          </w:p>
        </w:tc>
        <w:tc>
          <w:tcPr>
            <w:tcW w:w="128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消防测压直流水枪</w:t>
            </w:r>
          </w:p>
        </w:tc>
        <w:tc>
          <w:tcPr>
            <w:tcW w:w="437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消防试压装置 规格类型：60转换50接头，带水压测试表，压力表量程：0-1.6Pa</w:t>
            </w:r>
          </w:p>
        </w:tc>
        <w:tc>
          <w:tcPr>
            <w:tcW w:w="46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个</w:t>
            </w:r>
          </w:p>
        </w:tc>
        <w:tc>
          <w:tcPr>
            <w:tcW w:w="99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2</w:t>
            </w:r>
          </w:p>
        </w:tc>
        <w:tc>
          <w:tcPr>
            <w:tcW w:w="1080" w:type="dxa"/>
            <w:shd w:val="clear" w:color="auto" w:fill="auto"/>
            <w:vAlign w:val="center"/>
          </w:tcPr>
          <w:p>
            <w:pPr>
              <w:spacing w:line="360" w:lineRule="auto"/>
              <w:jc w:val="center"/>
              <w:rPr>
                <w:rFonts w:ascii="仿宋" w:hAnsi="仿宋" w:eastAsia="仿宋" w:cs="仿宋"/>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2583" w:hRule="atLeast"/>
        </w:trPr>
        <w:tc>
          <w:tcPr>
            <w:tcW w:w="528"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10</w:t>
            </w:r>
          </w:p>
        </w:tc>
        <w:tc>
          <w:tcPr>
            <w:tcW w:w="128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消防测压直流水枪</w:t>
            </w:r>
          </w:p>
        </w:tc>
        <w:tc>
          <w:tcPr>
            <w:tcW w:w="4370" w:type="dxa"/>
            <w:shd w:val="clear" w:color="auto" w:fill="auto"/>
            <w:vAlign w:val="center"/>
          </w:tcPr>
          <w:p>
            <w:pPr>
              <w:pStyle w:val="3"/>
              <w:widowControl/>
              <w:shd w:val="clear" w:color="auto" w:fill="FFFFFF"/>
              <w:spacing w:beforeAutospacing="0" w:afterAutospacing="0" w:line="315" w:lineRule="atLeast"/>
              <w:jc w:val="center"/>
              <w:rPr>
                <w:rFonts w:hint="default" w:ascii="仿宋" w:hAnsi="仿宋" w:eastAsia="仿宋" w:cs="仿宋"/>
                <w:b w:val="0"/>
                <w:color w:val="000000"/>
                <w:sz w:val="24"/>
                <w:szCs w:val="24"/>
              </w:rPr>
            </w:pPr>
          </w:p>
          <w:p>
            <w:pPr>
              <w:pStyle w:val="3"/>
              <w:widowControl/>
              <w:shd w:val="clear" w:color="auto" w:fill="FFFFFF"/>
              <w:spacing w:beforeAutospacing="0" w:afterAutospacing="0" w:line="315" w:lineRule="atLeast"/>
              <w:jc w:val="center"/>
              <w:rPr>
                <w:rFonts w:hint="default" w:ascii="仿宋" w:hAnsi="仿宋" w:eastAsia="仿宋" w:cs="仿宋"/>
                <w:b w:val="0"/>
                <w:color w:val="000000"/>
                <w:sz w:val="24"/>
                <w:szCs w:val="24"/>
              </w:rPr>
            </w:pPr>
            <w:r>
              <w:rPr>
                <w:rFonts w:ascii="仿宋" w:hAnsi="仿宋" w:eastAsia="仿宋" w:cs="仿宋"/>
                <w:b w:val="0"/>
                <w:color w:val="000000"/>
                <w:sz w:val="24"/>
                <w:szCs w:val="24"/>
              </w:rPr>
              <w:t>试压开关水枪 ，65型带压力表消防水枪 ，开关直流水枪 ，外表采用氧化处理，耐腐蚀能力强，用于检测消防栓系统的静水压，出水压力，参考系数：公称压力：1.6MPa,公称通径65MM，压力表量程：0-1.6Pa,压力表精度：1.5级</w:t>
            </w:r>
          </w:p>
          <w:p>
            <w:pPr>
              <w:shd w:val="clear" w:color="auto" w:fill="FFFFFF"/>
              <w:spacing w:line="360" w:lineRule="auto"/>
              <w:jc w:val="center"/>
              <w:outlineLvl w:val="0"/>
              <w:rPr>
                <w:rFonts w:ascii="仿宋" w:hAnsi="仿宋" w:eastAsia="仿宋" w:cs="仿宋"/>
                <w:bCs/>
                <w:sz w:val="24"/>
                <w:szCs w:val="24"/>
              </w:rPr>
            </w:pPr>
          </w:p>
        </w:tc>
        <w:tc>
          <w:tcPr>
            <w:tcW w:w="46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个</w:t>
            </w:r>
          </w:p>
        </w:tc>
        <w:tc>
          <w:tcPr>
            <w:tcW w:w="99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2</w:t>
            </w:r>
          </w:p>
        </w:tc>
        <w:tc>
          <w:tcPr>
            <w:tcW w:w="1080" w:type="dxa"/>
            <w:shd w:val="clear" w:color="auto" w:fill="auto"/>
            <w:vAlign w:val="center"/>
          </w:tcPr>
          <w:p>
            <w:pPr>
              <w:spacing w:line="360" w:lineRule="auto"/>
              <w:jc w:val="center"/>
              <w:rPr>
                <w:rFonts w:ascii="仿宋" w:hAnsi="仿宋" w:eastAsia="仿宋" w:cs="仿宋"/>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285" w:hRule="atLeast"/>
        </w:trPr>
        <w:tc>
          <w:tcPr>
            <w:tcW w:w="528"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11</w:t>
            </w:r>
          </w:p>
        </w:tc>
        <w:tc>
          <w:tcPr>
            <w:tcW w:w="128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消防栓转轮</w:t>
            </w:r>
          </w:p>
        </w:tc>
        <w:tc>
          <w:tcPr>
            <w:tcW w:w="4370" w:type="dxa"/>
            <w:shd w:val="clear" w:color="auto" w:fill="auto"/>
            <w:vAlign w:val="center"/>
          </w:tcPr>
          <w:p>
            <w:pPr>
              <w:shd w:val="clear" w:color="auto" w:fill="FFFFFF"/>
              <w:spacing w:line="360" w:lineRule="auto"/>
              <w:jc w:val="center"/>
              <w:outlineLvl w:val="0"/>
              <w:rPr>
                <w:rFonts w:ascii="仿宋" w:hAnsi="仿宋" w:eastAsia="仿宋" w:cs="仿宋"/>
                <w:bCs/>
                <w:sz w:val="24"/>
                <w:szCs w:val="24"/>
              </w:rPr>
            </w:pPr>
            <w:r>
              <w:rPr>
                <w:rFonts w:hint="eastAsia" w:ascii="仿宋" w:hAnsi="仿宋" w:eastAsia="仿宋" w:cs="仿宋"/>
                <w:color w:val="000000"/>
                <w:sz w:val="24"/>
                <w:szCs w:val="24"/>
              </w:rPr>
              <w:t>通用铸铁手轮，铸铁0.48KG,带外螺门式螺帽</w:t>
            </w:r>
          </w:p>
        </w:tc>
        <w:tc>
          <w:tcPr>
            <w:tcW w:w="46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个</w:t>
            </w:r>
          </w:p>
        </w:tc>
        <w:tc>
          <w:tcPr>
            <w:tcW w:w="99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20</w:t>
            </w:r>
          </w:p>
        </w:tc>
        <w:tc>
          <w:tcPr>
            <w:tcW w:w="1080" w:type="dxa"/>
            <w:shd w:val="clear" w:color="auto" w:fill="auto"/>
            <w:vAlign w:val="center"/>
          </w:tcPr>
          <w:p>
            <w:pPr>
              <w:spacing w:line="360" w:lineRule="auto"/>
              <w:jc w:val="center"/>
              <w:rPr>
                <w:rFonts w:ascii="仿宋" w:hAnsi="仿宋" w:eastAsia="仿宋" w:cs="仿宋"/>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1569" w:hRule="atLeast"/>
        </w:trPr>
        <w:tc>
          <w:tcPr>
            <w:tcW w:w="528"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12</w:t>
            </w:r>
          </w:p>
        </w:tc>
        <w:tc>
          <w:tcPr>
            <w:tcW w:w="128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国标警示标志牌</w:t>
            </w:r>
          </w:p>
        </w:tc>
        <w:tc>
          <w:tcPr>
            <w:tcW w:w="4370" w:type="dxa"/>
            <w:shd w:val="clear" w:color="auto" w:fill="auto"/>
            <w:vAlign w:val="center"/>
          </w:tcPr>
          <w:p>
            <w:pPr>
              <w:shd w:val="clear" w:color="auto" w:fill="FFFFFF"/>
              <w:spacing w:line="360" w:lineRule="auto"/>
              <w:jc w:val="center"/>
              <w:outlineLvl w:val="0"/>
              <w:rPr>
                <w:rFonts w:ascii="仿宋" w:hAnsi="仿宋" w:eastAsia="仿宋" w:cs="仿宋"/>
                <w:bCs/>
                <w:sz w:val="24"/>
                <w:szCs w:val="24"/>
              </w:rPr>
            </w:pPr>
            <w:r>
              <w:rPr>
                <w:rFonts w:hint="eastAsia" w:ascii="仿宋" w:hAnsi="仿宋" w:eastAsia="仿宋" w:cs="仿宋"/>
                <w:color w:val="000000"/>
                <w:sz w:val="24"/>
                <w:szCs w:val="24"/>
              </w:rPr>
              <w:t>材质：PP背胶纸+雪弗板（非塑料板），适用于室外，厚度3mm,尺寸大小：高20*长30,带广东松山职业技术学院标志</w:t>
            </w:r>
          </w:p>
        </w:tc>
        <w:tc>
          <w:tcPr>
            <w:tcW w:w="46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张</w:t>
            </w:r>
          </w:p>
        </w:tc>
        <w:tc>
          <w:tcPr>
            <w:tcW w:w="99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35</w:t>
            </w:r>
          </w:p>
        </w:tc>
        <w:tc>
          <w:tcPr>
            <w:tcW w:w="108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包安装(材料等不可预知费用由商家提供）</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1158" w:hRule="atLeast"/>
        </w:trPr>
        <w:tc>
          <w:tcPr>
            <w:tcW w:w="528"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13</w:t>
            </w:r>
          </w:p>
        </w:tc>
        <w:tc>
          <w:tcPr>
            <w:tcW w:w="128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撬棍</w:t>
            </w:r>
          </w:p>
        </w:tc>
        <w:tc>
          <w:tcPr>
            <w:tcW w:w="4370" w:type="dxa"/>
            <w:shd w:val="clear" w:color="auto" w:fill="auto"/>
            <w:vAlign w:val="center"/>
          </w:tcPr>
          <w:p>
            <w:pPr>
              <w:wordWrap w:val="0"/>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材质: 高碳钢，总长80cm,产品宽度1.7Ccm</w:t>
            </w:r>
          </w:p>
        </w:tc>
        <w:tc>
          <w:tcPr>
            <w:tcW w:w="46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把</w:t>
            </w:r>
          </w:p>
        </w:tc>
        <w:tc>
          <w:tcPr>
            <w:tcW w:w="99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5</w:t>
            </w:r>
          </w:p>
        </w:tc>
        <w:tc>
          <w:tcPr>
            <w:tcW w:w="1080" w:type="dxa"/>
            <w:shd w:val="clear" w:color="auto" w:fill="auto"/>
            <w:vAlign w:val="center"/>
          </w:tcPr>
          <w:p>
            <w:pPr>
              <w:spacing w:line="360" w:lineRule="auto"/>
              <w:jc w:val="center"/>
              <w:rPr>
                <w:rFonts w:ascii="仿宋" w:hAnsi="仿宋" w:eastAsia="仿宋" w:cs="仿宋"/>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15" w:type="dxa"/>
            <w:left w:w="15" w:type="dxa"/>
            <w:bottom w:w="15" w:type="dxa"/>
            <w:right w:w="15" w:type="dxa"/>
          </w:tblCellMar>
        </w:tblPrEx>
        <w:trPr>
          <w:trHeight w:val="285" w:hRule="atLeast"/>
        </w:trPr>
        <w:tc>
          <w:tcPr>
            <w:tcW w:w="528"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14</w:t>
            </w:r>
          </w:p>
        </w:tc>
        <w:tc>
          <w:tcPr>
            <w:tcW w:w="128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手动液压扩张器</w:t>
            </w:r>
          </w:p>
        </w:tc>
        <w:tc>
          <w:tcPr>
            <w:tcW w:w="4370" w:type="dxa"/>
            <w:shd w:val="clear" w:color="auto" w:fill="auto"/>
            <w:vAlign w:val="center"/>
          </w:tcPr>
          <w:p>
            <w:pPr>
              <w:wordWrap w:val="0"/>
              <w:spacing w:line="360" w:lineRule="auto"/>
              <w:jc w:val="center"/>
              <w:rPr>
                <w:rFonts w:ascii="仿宋" w:hAnsi="仿宋" w:eastAsia="仿宋" w:cs="仿宋"/>
                <w:bCs/>
                <w:sz w:val="24"/>
                <w:szCs w:val="24"/>
              </w:rPr>
            </w:pPr>
            <w:r>
              <w:rPr>
                <w:rFonts w:hint="eastAsia" w:ascii="仿宋" w:hAnsi="仿宋" w:eastAsia="仿宋" w:cs="仿宋"/>
                <w:color w:val="000000"/>
                <w:sz w:val="24"/>
                <w:szCs w:val="24"/>
              </w:rPr>
              <w:t>铝合金液压法兰分离器 手动液压扩张器 扩张钳破拆消防工具 技术参数：吨位：&gt;8t 顶部厚度：11mm  最大扩张距离30mm 最大张开距离：56mm 产品净重：1.9kg 产品长度：410mm</w:t>
            </w:r>
          </w:p>
        </w:tc>
        <w:tc>
          <w:tcPr>
            <w:tcW w:w="466"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把</w:t>
            </w:r>
          </w:p>
        </w:tc>
        <w:tc>
          <w:tcPr>
            <w:tcW w:w="990" w:type="dxa"/>
            <w:shd w:val="clear" w:color="auto" w:fill="auto"/>
            <w:vAlign w:val="center"/>
          </w:tcPr>
          <w:p>
            <w:pPr>
              <w:spacing w:line="360" w:lineRule="auto"/>
              <w:jc w:val="center"/>
              <w:rPr>
                <w:rFonts w:ascii="仿宋" w:hAnsi="仿宋" w:eastAsia="仿宋" w:cs="仿宋"/>
                <w:bCs/>
                <w:sz w:val="24"/>
                <w:szCs w:val="24"/>
              </w:rPr>
            </w:pPr>
            <w:r>
              <w:rPr>
                <w:rFonts w:hint="eastAsia" w:ascii="仿宋" w:hAnsi="仿宋" w:eastAsia="仿宋" w:cs="仿宋"/>
                <w:bCs/>
                <w:sz w:val="24"/>
                <w:szCs w:val="24"/>
              </w:rPr>
              <w:t>1</w:t>
            </w:r>
          </w:p>
        </w:tc>
        <w:tc>
          <w:tcPr>
            <w:tcW w:w="1080" w:type="dxa"/>
            <w:shd w:val="clear" w:color="auto" w:fill="auto"/>
            <w:vAlign w:val="center"/>
          </w:tcPr>
          <w:p>
            <w:pPr>
              <w:spacing w:line="360" w:lineRule="auto"/>
              <w:jc w:val="center"/>
              <w:rPr>
                <w:rFonts w:ascii="仿宋" w:hAnsi="仿宋" w:eastAsia="仿宋" w:cs="仿宋"/>
                <w:bCs/>
                <w:sz w:val="24"/>
                <w:szCs w:val="24"/>
              </w:rPr>
            </w:pPr>
          </w:p>
        </w:tc>
      </w:tr>
    </w:tbl>
    <w:p>
      <w:pPr>
        <w:tabs>
          <w:tab w:val="left" w:pos="1725"/>
        </w:tabs>
        <w:spacing w:line="500" w:lineRule="exact"/>
        <w:ind w:right="420"/>
        <w:rPr>
          <w:rFonts w:ascii="仿宋" w:hAnsi="仿宋" w:eastAsia="仿宋" w:cs="仿宋"/>
          <w:sz w:val="28"/>
          <w:szCs w:val="28"/>
        </w:rPr>
      </w:pPr>
      <w:r>
        <w:rPr>
          <w:rFonts w:hint="eastAsia" w:ascii="仿宋" w:hAnsi="仿宋" w:eastAsia="仿宋" w:cs="仿宋"/>
          <w:sz w:val="28"/>
          <w:szCs w:val="28"/>
        </w:rPr>
        <w:t>注：1、投标报价组成说明：</w:t>
      </w:r>
    </w:p>
    <w:p>
      <w:pPr>
        <w:tabs>
          <w:tab w:val="left" w:pos="1725"/>
        </w:tabs>
        <w:spacing w:line="500" w:lineRule="exact"/>
        <w:ind w:left="-304" w:leftChars="-145" w:right="-427"/>
        <w:rPr>
          <w:rFonts w:ascii="仿宋" w:hAnsi="仿宋" w:eastAsia="仿宋" w:cs="仿宋"/>
          <w:sz w:val="28"/>
          <w:szCs w:val="28"/>
        </w:rPr>
      </w:pPr>
      <w:r>
        <w:rPr>
          <w:rFonts w:hint="eastAsia" w:ascii="仿宋" w:hAnsi="仿宋" w:eastAsia="仿宋" w:cs="仿宋"/>
          <w:sz w:val="28"/>
          <w:szCs w:val="28"/>
        </w:rPr>
        <w:t>（1）货物及零配件的购置和安装、运输保险、装卸、质保期售后服务、全额含税发票、雇员费用、合同实施过程中应预见和不可预见费用等；</w:t>
      </w:r>
    </w:p>
    <w:p>
      <w:pPr>
        <w:tabs>
          <w:tab w:val="left" w:pos="1725"/>
        </w:tabs>
        <w:spacing w:line="500" w:lineRule="exact"/>
        <w:ind w:left="-304" w:leftChars="-145" w:right="-427"/>
        <w:rPr>
          <w:rFonts w:ascii="仿宋" w:hAnsi="仿宋" w:eastAsia="仿宋" w:cs="仿宋"/>
          <w:sz w:val="28"/>
          <w:szCs w:val="28"/>
        </w:rPr>
      </w:pPr>
      <w:r>
        <w:rPr>
          <w:rFonts w:hint="eastAsia" w:ascii="仿宋" w:hAnsi="仿宋" w:eastAsia="仿宋" w:cs="仿宋"/>
          <w:sz w:val="28"/>
          <w:szCs w:val="28"/>
        </w:rPr>
        <w:t>（2）招标范围内所有设备及配件费；</w:t>
      </w:r>
    </w:p>
    <w:p>
      <w:pPr>
        <w:tabs>
          <w:tab w:val="left" w:pos="1725"/>
        </w:tabs>
        <w:spacing w:line="500" w:lineRule="exact"/>
        <w:ind w:left="-304" w:leftChars="-145" w:right="-427"/>
        <w:rPr>
          <w:rFonts w:ascii="仿宋" w:hAnsi="仿宋" w:eastAsia="仿宋" w:cs="仿宋"/>
          <w:sz w:val="28"/>
          <w:szCs w:val="28"/>
        </w:rPr>
      </w:pPr>
      <w:r>
        <w:rPr>
          <w:rFonts w:hint="eastAsia" w:ascii="仿宋" w:hAnsi="仿宋" w:eastAsia="仿宋" w:cs="仿宋"/>
          <w:sz w:val="28"/>
          <w:szCs w:val="28"/>
        </w:rPr>
        <w:t>（3）安装中的相关费用（包括安装过程中损耗、额外材料、设计费等）；</w:t>
      </w:r>
    </w:p>
    <w:p>
      <w:pPr>
        <w:tabs>
          <w:tab w:val="left" w:pos="1725"/>
        </w:tabs>
        <w:spacing w:line="500" w:lineRule="exact"/>
        <w:ind w:left="-304" w:leftChars="-145" w:right="-427"/>
        <w:rPr>
          <w:rFonts w:ascii="仿宋" w:hAnsi="仿宋" w:eastAsia="仿宋" w:cs="仿宋"/>
          <w:sz w:val="28"/>
          <w:szCs w:val="28"/>
        </w:rPr>
      </w:pPr>
      <w:r>
        <w:rPr>
          <w:rFonts w:hint="eastAsia" w:ascii="仿宋" w:hAnsi="仿宋" w:eastAsia="仿宋" w:cs="仿宋"/>
          <w:sz w:val="28"/>
          <w:szCs w:val="28"/>
        </w:rPr>
        <w:t>（4）人员培训和售后服务的相关费用。</w:t>
      </w:r>
    </w:p>
    <w:p>
      <w:pPr>
        <w:tabs>
          <w:tab w:val="left" w:pos="1725"/>
        </w:tabs>
        <w:spacing w:line="500" w:lineRule="exact"/>
        <w:ind w:left="-304" w:leftChars="-145" w:right="-427" w:firstLine="562" w:firstLineChars="200"/>
        <w:rPr>
          <w:rFonts w:ascii="仿宋" w:hAnsi="仿宋" w:eastAsia="仿宋" w:cs="仿宋"/>
          <w:sz w:val="28"/>
          <w:szCs w:val="28"/>
        </w:rPr>
      </w:pPr>
      <w:r>
        <w:rPr>
          <w:rFonts w:hint="eastAsia" w:ascii="仿宋" w:hAnsi="仿宋" w:eastAsia="仿宋" w:cs="仿宋"/>
          <w:b/>
          <w:sz w:val="28"/>
          <w:szCs w:val="28"/>
        </w:rPr>
        <w:t>三、供货及质量保证要求</w:t>
      </w:r>
    </w:p>
    <w:p>
      <w:pPr>
        <w:pStyle w:val="5"/>
        <w:tabs>
          <w:tab w:val="left" w:pos="284"/>
        </w:tabs>
        <w:adjustRightInd w:val="0"/>
        <w:snapToGrid w:val="0"/>
        <w:spacing w:line="360" w:lineRule="auto"/>
        <w:ind w:left="-422" w:leftChars="-201" w:firstLine="560" w:firstLineChars="200"/>
        <w:rPr>
          <w:rFonts w:ascii="仿宋" w:hAnsi="仿宋" w:eastAsia="仿宋" w:cs="仿宋"/>
          <w:sz w:val="28"/>
          <w:szCs w:val="28"/>
        </w:rPr>
      </w:pPr>
      <w:r>
        <w:rPr>
          <w:rFonts w:hint="eastAsia" w:ascii="仿宋" w:hAnsi="仿宋" w:eastAsia="仿宋" w:cs="仿宋"/>
          <w:sz w:val="28"/>
          <w:szCs w:val="28"/>
        </w:rPr>
        <w:t>1.报价人应保证提供的货物质量指标达到相应的生产国标准，行业标准及厂家在本询价文件中提交并确定遵照的有关标准及技术要求。相关货物须经中国政府批准在中国境内销售，并在中国有关监督管理部门办理注册登记。相关设备须适合中国国家标准。</w:t>
      </w:r>
    </w:p>
    <w:p>
      <w:pPr>
        <w:pStyle w:val="5"/>
        <w:tabs>
          <w:tab w:val="left" w:pos="284"/>
        </w:tabs>
        <w:adjustRightInd w:val="0"/>
        <w:snapToGrid w:val="0"/>
        <w:spacing w:line="360" w:lineRule="auto"/>
        <w:ind w:left="-422" w:leftChars="-201" w:firstLine="560" w:firstLineChars="200"/>
        <w:rPr>
          <w:rFonts w:ascii="仿宋" w:hAnsi="仿宋" w:eastAsia="仿宋" w:cs="仿宋"/>
          <w:sz w:val="28"/>
          <w:szCs w:val="28"/>
        </w:rPr>
      </w:pPr>
      <w:r>
        <w:rPr>
          <w:rFonts w:hint="eastAsia" w:ascii="仿宋" w:hAnsi="仿宋" w:eastAsia="仿宋" w:cs="仿宋"/>
          <w:sz w:val="28"/>
          <w:szCs w:val="28"/>
        </w:rPr>
        <w:t>2.报价人应保证所供货物是全新的、未使用过的，是用户需求书要求的型号。并且全部货物没有设计、材料或工艺上的缺陷。</w:t>
      </w:r>
    </w:p>
    <w:p>
      <w:pPr>
        <w:pStyle w:val="5"/>
        <w:tabs>
          <w:tab w:val="left" w:pos="284"/>
        </w:tabs>
        <w:adjustRightInd w:val="0"/>
        <w:snapToGrid w:val="0"/>
        <w:spacing w:line="360" w:lineRule="auto"/>
        <w:ind w:left="-422" w:leftChars="-201" w:firstLine="560" w:firstLineChars="200"/>
        <w:rPr>
          <w:rFonts w:ascii="仿宋" w:hAnsi="仿宋" w:eastAsia="仿宋" w:cs="仿宋"/>
          <w:sz w:val="28"/>
          <w:szCs w:val="28"/>
        </w:rPr>
      </w:pPr>
      <w:r>
        <w:rPr>
          <w:rFonts w:hint="eastAsia" w:ascii="仿宋" w:hAnsi="仿宋" w:eastAsia="仿宋" w:cs="仿宋"/>
          <w:sz w:val="28"/>
          <w:szCs w:val="28"/>
        </w:rPr>
        <w:t>3.报价人保证提供的货物不侵犯任何第三方的专利、商标或版权。否则，报价人须承担对第三方的专利或版权的侵权责任并承担因此而发生的所有费用。</w:t>
      </w:r>
    </w:p>
    <w:p>
      <w:pPr>
        <w:pStyle w:val="5"/>
        <w:tabs>
          <w:tab w:val="left" w:pos="284"/>
        </w:tabs>
        <w:adjustRightInd w:val="0"/>
        <w:snapToGrid w:val="0"/>
        <w:spacing w:line="360" w:lineRule="auto"/>
        <w:ind w:left="-422" w:leftChars="-201" w:firstLine="562" w:firstLineChars="200"/>
        <w:rPr>
          <w:rFonts w:ascii="仿宋" w:hAnsi="仿宋" w:eastAsia="仿宋" w:cs="仿宋"/>
          <w:b/>
          <w:sz w:val="28"/>
          <w:szCs w:val="28"/>
        </w:rPr>
      </w:pPr>
      <w:r>
        <w:rPr>
          <w:rFonts w:hint="eastAsia" w:ascii="仿宋" w:hAnsi="仿宋" w:eastAsia="仿宋" w:cs="仿宋"/>
          <w:b/>
          <w:sz w:val="28"/>
          <w:szCs w:val="28"/>
        </w:rPr>
        <w:t>四、售后服务要求</w:t>
      </w:r>
    </w:p>
    <w:p>
      <w:pPr>
        <w:pStyle w:val="5"/>
        <w:tabs>
          <w:tab w:val="left" w:pos="284"/>
        </w:tabs>
        <w:adjustRightInd w:val="0"/>
        <w:snapToGrid w:val="0"/>
        <w:spacing w:line="360" w:lineRule="auto"/>
        <w:ind w:left="-422" w:leftChars="-201" w:firstLine="562" w:firstLineChars="200"/>
        <w:rPr>
          <w:rFonts w:ascii="仿宋" w:hAnsi="仿宋" w:eastAsia="仿宋" w:cs="仿宋"/>
          <w:sz w:val="28"/>
          <w:szCs w:val="28"/>
        </w:rPr>
      </w:pPr>
      <w:r>
        <w:rPr>
          <w:rFonts w:hint="eastAsia" w:ascii="仿宋" w:hAnsi="仿宋" w:eastAsia="仿宋" w:cs="仿宋"/>
          <w:b/>
          <w:sz w:val="28"/>
          <w:szCs w:val="28"/>
        </w:rPr>
        <w:t>1.</w:t>
      </w:r>
      <w:r>
        <w:rPr>
          <w:rFonts w:hint="eastAsia" w:ascii="仿宋" w:hAnsi="仿宋" w:eastAsia="仿宋" w:cs="仿宋"/>
          <w:sz w:val="28"/>
          <w:szCs w:val="28"/>
        </w:rPr>
        <w:t>质保期：所有货物质保期为1年，自验收合格之日起计算，质保内提供免费上门服务（含部件、人力、上门等），保修费用已计入总价，并以书面形式承诺质保期满后继续为招标人提供维修服务，并优惠收费。（报价人须在报价文件中提供质保服务内容细则）。</w:t>
      </w:r>
    </w:p>
    <w:p>
      <w:pPr>
        <w:pStyle w:val="5"/>
        <w:tabs>
          <w:tab w:val="left" w:pos="284"/>
        </w:tabs>
        <w:adjustRightInd w:val="0"/>
        <w:snapToGrid w:val="0"/>
        <w:spacing w:line="360" w:lineRule="auto"/>
        <w:ind w:left="-422" w:leftChars="-201" w:firstLine="560" w:firstLineChars="200"/>
        <w:rPr>
          <w:rFonts w:ascii="仿宋" w:hAnsi="仿宋" w:eastAsia="仿宋" w:cs="仿宋"/>
          <w:sz w:val="28"/>
          <w:szCs w:val="28"/>
        </w:rPr>
      </w:pPr>
      <w:r>
        <w:rPr>
          <w:rFonts w:hint="eastAsia" w:ascii="仿宋" w:hAnsi="仿宋" w:eastAsia="仿宋" w:cs="仿宋"/>
          <w:sz w:val="28"/>
          <w:szCs w:val="28"/>
        </w:rPr>
        <w:t>2.报价人应提供满足货物1年正常使用的备品备件（若有），其费用应包括在报价价格之内。</w:t>
      </w:r>
    </w:p>
    <w:p>
      <w:pPr>
        <w:pStyle w:val="5"/>
        <w:tabs>
          <w:tab w:val="left" w:pos="284"/>
        </w:tabs>
        <w:adjustRightInd w:val="0"/>
        <w:snapToGrid w:val="0"/>
        <w:spacing w:line="360" w:lineRule="auto"/>
        <w:ind w:left="-422" w:leftChars="-201" w:firstLine="560" w:firstLineChars="200"/>
        <w:rPr>
          <w:rFonts w:ascii="仿宋" w:hAnsi="仿宋" w:eastAsia="仿宋" w:cs="仿宋"/>
          <w:sz w:val="28"/>
          <w:szCs w:val="28"/>
        </w:rPr>
      </w:pPr>
      <w:r>
        <w:rPr>
          <w:rFonts w:hint="eastAsia" w:ascii="仿宋" w:hAnsi="仿宋" w:eastAsia="仿宋" w:cs="仿宋"/>
          <w:sz w:val="28"/>
          <w:szCs w:val="28"/>
        </w:rPr>
        <w:t>3.报价人必须在采购人所在地或附近地区有专业的售后服务力量。提供售后服务联系电话及联系人。免费质保期内，接到报障电话8小时内派工程技术人员上门维修,且在48小时（连同前面8小时计算）内处理完毕。规定时间内未处理完毕的，报价人提供不低于同等档次货物供用户使用至故障货物能正常使用为止。如果需要更换配件的，要求更换的配件跟被更换的品牌、类型相一致或者是同类同档次的替代品，后者需征得采购人管理人员同意。如须增加非报价人提供的货物和配件时，报价人应协助解决。</w:t>
      </w:r>
    </w:p>
    <w:p>
      <w:pPr>
        <w:pStyle w:val="5"/>
        <w:tabs>
          <w:tab w:val="left" w:pos="284"/>
        </w:tabs>
        <w:adjustRightInd w:val="0"/>
        <w:snapToGrid w:val="0"/>
        <w:spacing w:line="360" w:lineRule="auto"/>
        <w:ind w:left="-422" w:leftChars="-201" w:firstLine="560" w:firstLineChars="200"/>
        <w:rPr>
          <w:rFonts w:ascii="仿宋" w:hAnsi="仿宋" w:eastAsia="仿宋" w:cs="仿宋"/>
          <w:sz w:val="28"/>
          <w:szCs w:val="28"/>
        </w:rPr>
      </w:pPr>
      <w:r>
        <w:rPr>
          <w:rFonts w:hint="eastAsia" w:ascii="仿宋" w:hAnsi="仿宋" w:eastAsia="仿宋" w:cs="仿宋"/>
          <w:sz w:val="28"/>
          <w:szCs w:val="28"/>
        </w:rPr>
        <w:t>4.对质保期内的故障报修，如中标人未能做到上款的服务承诺，采购人可采取必要的补救措施，但其风险和费用由中标人承担，由于中标人的保证服务不到位，质保期的到期时间将顺延。</w:t>
      </w:r>
    </w:p>
    <w:p>
      <w:pPr>
        <w:pStyle w:val="5"/>
        <w:tabs>
          <w:tab w:val="left" w:pos="284"/>
        </w:tabs>
        <w:adjustRightInd w:val="0"/>
        <w:snapToGrid w:val="0"/>
        <w:spacing w:line="360" w:lineRule="auto"/>
        <w:ind w:left="-422" w:leftChars="-201" w:firstLine="560" w:firstLineChars="200"/>
        <w:rPr>
          <w:rFonts w:ascii="仿宋" w:hAnsi="仿宋" w:eastAsia="仿宋" w:cs="仿宋"/>
          <w:sz w:val="28"/>
          <w:szCs w:val="28"/>
        </w:rPr>
      </w:pPr>
      <w:r>
        <w:rPr>
          <w:rFonts w:hint="eastAsia" w:ascii="仿宋" w:hAnsi="仿宋" w:eastAsia="仿宋" w:cs="仿宋"/>
          <w:sz w:val="28"/>
          <w:szCs w:val="28"/>
        </w:rPr>
        <w:t>5.质保期内因采购人使用、管理不当所造成的损失由招标承担，中标人提供有偿服务。</w:t>
      </w:r>
    </w:p>
    <w:p>
      <w:pPr>
        <w:pStyle w:val="5"/>
        <w:tabs>
          <w:tab w:val="left" w:pos="284"/>
        </w:tabs>
        <w:adjustRightInd w:val="0"/>
        <w:snapToGrid w:val="0"/>
        <w:spacing w:line="360" w:lineRule="auto"/>
        <w:ind w:left="-422" w:leftChars="-201" w:firstLine="560" w:firstLineChars="200"/>
        <w:rPr>
          <w:rFonts w:ascii="仿宋" w:hAnsi="仿宋" w:eastAsia="仿宋" w:cs="仿宋"/>
          <w:sz w:val="28"/>
          <w:szCs w:val="28"/>
        </w:rPr>
      </w:pPr>
      <w:r>
        <w:rPr>
          <w:rFonts w:hint="eastAsia" w:ascii="仿宋" w:hAnsi="仿宋" w:eastAsia="仿宋" w:cs="仿宋"/>
          <w:sz w:val="28"/>
          <w:szCs w:val="28"/>
        </w:rPr>
        <w:t>6.质保期满后，应采购人要求，中标人应（参考当时的市场价格）按优惠价格与用户方签订定期维修保养合同及提供用户所需零配件，报价人对货物提供终身维护维修服务,只收取零配件成本费用。</w:t>
      </w:r>
    </w:p>
    <w:p>
      <w:pPr>
        <w:pStyle w:val="5"/>
        <w:tabs>
          <w:tab w:val="left" w:pos="284"/>
        </w:tabs>
        <w:adjustRightInd w:val="0"/>
        <w:snapToGrid w:val="0"/>
        <w:spacing w:line="360" w:lineRule="auto"/>
        <w:ind w:left="-422" w:leftChars="-201" w:firstLine="562" w:firstLineChars="200"/>
        <w:rPr>
          <w:rFonts w:ascii="仿宋" w:hAnsi="仿宋" w:eastAsia="仿宋" w:cs="仿宋"/>
          <w:b/>
          <w:sz w:val="28"/>
          <w:szCs w:val="28"/>
        </w:rPr>
      </w:pPr>
      <w:r>
        <w:rPr>
          <w:rFonts w:hint="eastAsia" w:ascii="仿宋" w:hAnsi="仿宋" w:eastAsia="仿宋" w:cs="仿宋"/>
          <w:b/>
          <w:sz w:val="28"/>
          <w:szCs w:val="28"/>
        </w:rPr>
        <w:t>五、本项目商务要求</w:t>
      </w:r>
    </w:p>
    <w:p>
      <w:pPr>
        <w:pStyle w:val="5"/>
        <w:tabs>
          <w:tab w:val="left" w:pos="284"/>
        </w:tabs>
        <w:adjustRightInd w:val="0"/>
        <w:snapToGrid w:val="0"/>
        <w:spacing w:line="360" w:lineRule="auto"/>
        <w:ind w:left="-422" w:leftChars="-201" w:firstLine="560" w:firstLineChars="200"/>
        <w:rPr>
          <w:rFonts w:ascii="仿宋" w:hAnsi="仿宋" w:eastAsia="仿宋" w:cs="仿宋"/>
          <w:sz w:val="28"/>
          <w:szCs w:val="28"/>
        </w:rPr>
      </w:pPr>
      <w:r>
        <w:rPr>
          <w:rFonts w:hint="eastAsia" w:ascii="仿宋" w:hAnsi="仿宋" w:eastAsia="仿宋" w:cs="仿宋"/>
          <w:sz w:val="28"/>
          <w:szCs w:val="28"/>
        </w:rPr>
        <w:t>（一）供货要求</w:t>
      </w:r>
    </w:p>
    <w:p>
      <w:pPr>
        <w:pStyle w:val="5"/>
        <w:adjustRightInd w:val="0"/>
        <w:snapToGrid w:val="0"/>
        <w:spacing w:line="360" w:lineRule="auto"/>
        <w:ind w:firstLine="420" w:firstLineChars="150"/>
        <w:rPr>
          <w:rFonts w:ascii="仿宋" w:hAnsi="仿宋" w:eastAsia="仿宋" w:cs="仿宋"/>
          <w:bCs/>
          <w:sz w:val="28"/>
          <w:szCs w:val="28"/>
        </w:rPr>
      </w:pPr>
      <w:r>
        <w:rPr>
          <w:rFonts w:hint="eastAsia" w:ascii="仿宋" w:hAnsi="仿宋" w:eastAsia="仿宋" w:cs="仿宋"/>
          <w:bCs/>
          <w:sz w:val="28"/>
          <w:szCs w:val="28"/>
        </w:rPr>
        <w:t>合同生效后</w:t>
      </w:r>
      <w:r>
        <w:rPr>
          <w:rFonts w:hint="eastAsia" w:ascii="仿宋" w:hAnsi="仿宋" w:eastAsia="仿宋" w:cs="仿宋"/>
          <w:bCs/>
          <w:sz w:val="28"/>
          <w:szCs w:val="28"/>
          <w:lang w:val="en-US" w:eastAsia="zh-CN"/>
        </w:rPr>
        <w:t>20</w:t>
      </w:r>
      <w:r>
        <w:rPr>
          <w:rFonts w:hint="eastAsia" w:ascii="仿宋" w:hAnsi="仿宋" w:eastAsia="仿宋" w:cs="仿宋"/>
          <w:bCs/>
          <w:sz w:val="28"/>
          <w:szCs w:val="28"/>
        </w:rPr>
        <w:t>日历天内完成交货、安装、验收并交付使用。</w:t>
      </w:r>
    </w:p>
    <w:p>
      <w:pPr>
        <w:pStyle w:val="5"/>
        <w:adjustRightInd w:val="0"/>
        <w:snapToGrid w:val="0"/>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（二）报价要求</w:t>
      </w:r>
    </w:p>
    <w:p>
      <w:pPr>
        <w:pStyle w:val="5"/>
        <w:tabs>
          <w:tab w:val="left" w:pos="540"/>
        </w:tabs>
        <w:adjustRightInd w:val="0"/>
        <w:snapToGrid w:val="0"/>
        <w:spacing w:line="360" w:lineRule="auto"/>
        <w:ind w:left="-141" w:leftChars="-67" w:firstLine="420" w:firstLineChars="150"/>
        <w:rPr>
          <w:rFonts w:ascii="仿宋" w:hAnsi="仿宋" w:eastAsia="仿宋" w:cs="仿宋"/>
          <w:sz w:val="28"/>
          <w:szCs w:val="28"/>
        </w:rPr>
      </w:pPr>
      <w:r>
        <w:rPr>
          <w:rFonts w:hint="eastAsia" w:ascii="仿宋" w:hAnsi="仿宋" w:eastAsia="仿宋" w:cs="仿宋"/>
          <w:sz w:val="28"/>
          <w:szCs w:val="28"/>
        </w:rPr>
        <w:t>1.报价人报价不得高于本项目预算，若高于本项目预算将作无效投标处理；</w:t>
      </w:r>
    </w:p>
    <w:p>
      <w:pPr>
        <w:pStyle w:val="5"/>
        <w:tabs>
          <w:tab w:val="left" w:pos="540"/>
        </w:tabs>
        <w:adjustRightInd w:val="0"/>
        <w:snapToGrid w:val="0"/>
        <w:spacing w:line="360" w:lineRule="auto"/>
        <w:ind w:left="-141" w:leftChars="-67" w:firstLine="700" w:firstLineChars="250"/>
        <w:rPr>
          <w:rFonts w:ascii="仿宋" w:hAnsi="仿宋" w:eastAsia="仿宋" w:cs="仿宋"/>
          <w:sz w:val="28"/>
          <w:szCs w:val="28"/>
        </w:rPr>
      </w:pPr>
      <w:r>
        <w:rPr>
          <w:rFonts w:hint="eastAsia" w:ascii="仿宋" w:hAnsi="仿宋" w:eastAsia="仿宋" w:cs="仿宋"/>
          <w:sz w:val="28"/>
          <w:szCs w:val="28"/>
        </w:rPr>
        <w:t>2.报价人分项报价中个别器材报价可由报价人进行自行调整，但所有报价总额不得超过本项目预算，否则参照第1点执行；</w:t>
      </w:r>
    </w:p>
    <w:p>
      <w:pPr>
        <w:pStyle w:val="5"/>
        <w:adjustRightInd w:val="0"/>
        <w:snapToGrid w:val="0"/>
        <w:spacing w:line="360" w:lineRule="auto"/>
        <w:ind w:left="640" w:leftChars="238" w:hanging="140" w:hangingChars="50"/>
        <w:rPr>
          <w:rFonts w:ascii="仿宋" w:hAnsi="仿宋" w:eastAsia="仿宋" w:cs="仿宋"/>
          <w:sz w:val="28"/>
          <w:szCs w:val="28"/>
        </w:rPr>
      </w:pPr>
      <w:r>
        <w:rPr>
          <w:rFonts w:hint="eastAsia" w:ascii="仿宋" w:hAnsi="仿宋" w:eastAsia="仿宋" w:cs="仿宋"/>
          <w:sz w:val="28"/>
          <w:szCs w:val="28"/>
        </w:rPr>
        <w:t>3.报价人报价费用须包含用户需求书“一、产品清单、技术参数及规</w:t>
      </w:r>
    </w:p>
    <w:p>
      <w:pPr>
        <w:pStyle w:val="5"/>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格要求”中“注：1、投标报价组成说明”所列条款。</w:t>
      </w:r>
    </w:p>
    <w:p>
      <w:pPr>
        <w:pStyle w:val="5"/>
        <w:tabs>
          <w:tab w:val="left" w:pos="540"/>
        </w:tabs>
        <w:adjustRightInd w:val="0"/>
        <w:snapToGrid w:val="0"/>
        <w:spacing w:line="360" w:lineRule="auto"/>
        <w:ind w:left="-134" w:firstLine="560" w:firstLineChars="200"/>
        <w:rPr>
          <w:rFonts w:ascii="仿宋" w:hAnsi="仿宋" w:eastAsia="仿宋" w:cs="仿宋"/>
          <w:sz w:val="28"/>
          <w:szCs w:val="28"/>
        </w:rPr>
      </w:pPr>
      <w:r>
        <w:rPr>
          <w:rFonts w:hint="eastAsia" w:ascii="仿宋" w:hAnsi="仿宋" w:eastAsia="仿宋" w:cs="仿宋"/>
          <w:sz w:val="28"/>
          <w:szCs w:val="28"/>
        </w:rPr>
        <w:t>（三）验收要求</w:t>
      </w:r>
    </w:p>
    <w:p>
      <w:pPr>
        <w:pStyle w:val="5"/>
        <w:tabs>
          <w:tab w:val="left" w:pos="540"/>
        </w:tabs>
        <w:adjustRightInd w:val="0"/>
        <w:snapToGrid w:val="0"/>
        <w:spacing w:line="360" w:lineRule="auto"/>
        <w:ind w:left="-141" w:leftChars="-67" w:firstLine="700" w:firstLineChars="250"/>
        <w:rPr>
          <w:rFonts w:ascii="仿宋" w:hAnsi="仿宋" w:eastAsia="仿宋" w:cs="仿宋"/>
          <w:sz w:val="28"/>
          <w:szCs w:val="28"/>
        </w:rPr>
      </w:pPr>
      <w:r>
        <w:rPr>
          <w:rFonts w:hint="eastAsia" w:ascii="仿宋" w:hAnsi="仿宋" w:eastAsia="仿宋" w:cs="仿宋"/>
          <w:sz w:val="28"/>
          <w:szCs w:val="28"/>
        </w:rPr>
        <w:t>1.中标人的检验部门在制造过程中和完工后，应按本询价文件所要求的标准和规范，进行各项具体的检验和试验，提出检验报告，并对检验报告的准确性负责，以便招标人进行监理。交货时提供质量合格证书。</w:t>
      </w:r>
    </w:p>
    <w:p>
      <w:pPr>
        <w:pStyle w:val="5"/>
        <w:tabs>
          <w:tab w:val="left" w:pos="540"/>
        </w:tabs>
        <w:adjustRightInd w:val="0"/>
        <w:snapToGrid w:val="0"/>
        <w:spacing w:line="360" w:lineRule="auto"/>
        <w:ind w:left="-141" w:leftChars="-67" w:firstLine="700" w:firstLineChars="250"/>
        <w:rPr>
          <w:rFonts w:ascii="仿宋" w:hAnsi="仿宋" w:eastAsia="仿宋" w:cs="仿宋"/>
          <w:sz w:val="28"/>
          <w:szCs w:val="28"/>
        </w:rPr>
      </w:pPr>
      <w:r>
        <w:rPr>
          <w:rFonts w:hint="eastAsia" w:ascii="仿宋" w:hAnsi="仿宋" w:eastAsia="仿宋" w:cs="仿宋"/>
          <w:sz w:val="28"/>
          <w:szCs w:val="28"/>
        </w:rPr>
        <w:t>2. 如有必要可邀请第三方检验机构按国家有关法规或条例以及本询价文件中规定的标准，进行质量监督检验。</w:t>
      </w:r>
    </w:p>
    <w:p>
      <w:pPr>
        <w:pStyle w:val="5"/>
        <w:tabs>
          <w:tab w:val="left" w:pos="540"/>
        </w:tabs>
        <w:adjustRightInd w:val="0"/>
        <w:snapToGrid w:val="0"/>
        <w:spacing w:line="360" w:lineRule="auto"/>
        <w:ind w:left="-141" w:leftChars="-67" w:firstLine="700" w:firstLineChars="250"/>
        <w:rPr>
          <w:rFonts w:ascii="仿宋" w:hAnsi="仿宋" w:eastAsia="仿宋" w:cs="仿宋"/>
          <w:sz w:val="28"/>
          <w:szCs w:val="28"/>
        </w:rPr>
      </w:pPr>
      <w:r>
        <w:rPr>
          <w:rFonts w:hint="eastAsia" w:ascii="仿宋" w:hAnsi="仿宋" w:eastAsia="仿宋" w:cs="仿宋"/>
          <w:sz w:val="28"/>
          <w:szCs w:val="28"/>
        </w:rPr>
        <w:t>3.中标人所提供的货物经过双方检验认可后，签署验收报告，产品质保期自验收合格之日起算，由中标人提供产品保修文件。</w:t>
      </w:r>
    </w:p>
    <w:p>
      <w:pPr>
        <w:pStyle w:val="5"/>
        <w:tabs>
          <w:tab w:val="left" w:pos="540"/>
        </w:tabs>
        <w:adjustRightInd w:val="0"/>
        <w:snapToGrid w:val="0"/>
        <w:spacing w:line="360" w:lineRule="auto"/>
        <w:ind w:left="-141" w:leftChars="-67" w:firstLine="700" w:firstLineChars="250"/>
        <w:rPr>
          <w:rFonts w:ascii="仿宋" w:hAnsi="仿宋" w:eastAsia="仿宋" w:cs="仿宋"/>
          <w:sz w:val="28"/>
          <w:szCs w:val="28"/>
        </w:rPr>
      </w:pPr>
      <w:r>
        <w:rPr>
          <w:rFonts w:hint="eastAsia" w:ascii="仿宋" w:hAnsi="仿宋" w:eastAsia="仿宋" w:cs="仿宋"/>
          <w:sz w:val="28"/>
          <w:szCs w:val="28"/>
        </w:rPr>
        <w:t>4.中标人必须将货物的整套技术资料包括设备说明书、使用手册及其它相关技术资料（应有中文解释）等交给用户方。</w:t>
      </w:r>
    </w:p>
    <w:p>
      <w:pPr>
        <w:pStyle w:val="5"/>
        <w:tabs>
          <w:tab w:val="left" w:pos="540"/>
        </w:tabs>
        <w:adjustRightInd w:val="0"/>
        <w:snapToGrid w:val="0"/>
        <w:spacing w:line="360" w:lineRule="auto"/>
        <w:ind w:left="-141" w:leftChars="-67" w:firstLine="700" w:firstLineChars="250"/>
        <w:rPr>
          <w:rFonts w:ascii="仿宋" w:hAnsi="仿宋" w:eastAsia="仿宋" w:cs="仿宋"/>
          <w:sz w:val="28"/>
          <w:szCs w:val="28"/>
        </w:rPr>
      </w:pPr>
      <w:r>
        <w:rPr>
          <w:rFonts w:hint="eastAsia" w:ascii="仿宋" w:hAnsi="仿宋" w:eastAsia="仿宋" w:cs="仿宋"/>
          <w:sz w:val="28"/>
          <w:szCs w:val="28"/>
        </w:rPr>
        <w:t>5.培训：由中标人进行设备的安装、调试和对用户进行基本的设备操作和系统使用培训。</w:t>
      </w:r>
    </w:p>
    <w:p>
      <w:pPr>
        <w:pStyle w:val="5"/>
        <w:tabs>
          <w:tab w:val="left" w:pos="284"/>
        </w:tabs>
        <w:adjustRightInd w:val="0"/>
        <w:snapToGrid w:val="0"/>
        <w:spacing w:line="360" w:lineRule="auto"/>
        <w:ind w:left="-422" w:leftChars="-201" w:firstLine="562" w:firstLineChars="200"/>
        <w:rPr>
          <w:rFonts w:ascii="仿宋" w:hAnsi="仿宋" w:eastAsia="仿宋" w:cs="仿宋"/>
          <w:b/>
          <w:sz w:val="28"/>
          <w:szCs w:val="28"/>
        </w:rPr>
      </w:pPr>
      <w:r>
        <w:rPr>
          <w:rFonts w:hint="eastAsia" w:ascii="仿宋" w:hAnsi="仿宋" w:eastAsia="仿宋" w:cs="仿宋"/>
          <w:b/>
          <w:sz w:val="28"/>
          <w:szCs w:val="28"/>
        </w:rPr>
        <w:t>六、付款方式</w:t>
      </w:r>
    </w:p>
    <w:p>
      <w:pPr>
        <w:pStyle w:val="5"/>
        <w:tabs>
          <w:tab w:val="left" w:pos="284"/>
        </w:tabs>
        <w:adjustRightInd w:val="0"/>
        <w:snapToGrid w:val="0"/>
        <w:spacing w:line="360" w:lineRule="auto"/>
        <w:ind w:left="-422" w:leftChars="-201"/>
        <w:rPr>
          <w:rFonts w:ascii="仿宋" w:hAnsi="仿宋" w:eastAsia="仿宋" w:cs="仿宋"/>
          <w:b/>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安装调试验收合格后一个月内支付合同总价的100%。</w:t>
      </w:r>
    </w:p>
    <w:p>
      <w:pPr>
        <w:pStyle w:val="5"/>
        <w:tabs>
          <w:tab w:val="left" w:pos="284"/>
        </w:tabs>
        <w:adjustRightInd w:val="0"/>
        <w:snapToGrid w:val="0"/>
        <w:spacing w:line="360" w:lineRule="auto"/>
        <w:ind w:left="-422" w:leftChars="-201" w:firstLine="562" w:firstLineChars="200"/>
        <w:rPr>
          <w:rFonts w:ascii="仿宋" w:hAnsi="仿宋" w:eastAsia="仿宋" w:cs="仿宋"/>
          <w:b/>
          <w:sz w:val="28"/>
          <w:szCs w:val="28"/>
        </w:rPr>
      </w:pPr>
      <w:r>
        <w:rPr>
          <w:rFonts w:hint="eastAsia" w:ascii="仿宋" w:hAnsi="仿宋" w:eastAsia="仿宋" w:cs="仿宋"/>
          <w:b/>
          <w:sz w:val="28"/>
          <w:szCs w:val="28"/>
        </w:rPr>
        <w:t>七、其他要求</w:t>
      </w:r>
    </w:p>
    <w:p>
      <w:pPr>
        <w:pStyle w:val="5"/>
        <w:tabs>
          <w:tab w:val="left" w:pos="540"/>
        </w:tabs>
        <w:adjustRightInd w:val="0"/>
        <w:snapToGrid w:val="0"/>
        <w:spacing w:line="360" w:lineRule="auto"/>
        <w:ind w:left="-141" w:leftChars="-67" w:firstLine="420" w:firstLineChars="150"/>
        <w:rPr>
          <w:rFonts w:ascii="仿宋" w:hAnsi="仿宋" w:eastAsia="仿宋" w:cs="仿宋"/>
          <w:sz w:val="28"/>
          <w:szCs w:val="28"/>
        </w:rPr>
      </w:pPr>
      <w:r>
        <w:rPr>
          <w:rFonts w:hint="eastAsia" w:ascii="仿宋" w:hAnsi="仿宋" w:eastAsia="仿宋" w:cs="仿宋"/>
          <w:sz w:val="28"/>
          <w:szCs w:val="28"/>
        </w:rPr>
        <w:t>1.为配合本项目进度所进行的各阶段工作，报价人人应列明需用户配合的工作内容（包括货物存放、保管、工程配合、调试、验收等）和具体要求。</w:t>
      </w:r>
    </w:p>
    <w:p>
      <w:pPr>
        <w:pStyle w:val="5"/>
        <w:tabs>
          <w:tab w:val="left" w:pos="540"/>
        </w:tabs>
        <w:adjustRightInd w:val="0"/>
        <w:snapToGrid w:val="0"/>
        <w:spacing w:line="360" w:lineRule="auto"/>
        <w:ind w:left="-141" w:leftChars="-67" w:firstLine="420" w:firstLineChars="150"/>
        <w:rPr>
          <w:rFonts w:ascii="仿宋" w:hAnsi="仿宋" w:eastAsia="仿宋" w:cs="仿宋"/>
          <w:sz w:val="28"/>
          <w:szCs w:val="28"/>
        </w:rPr>
      </w:pPr>
      <w:r>
        <w:rPr>
          <w:rFonts w:hint="eastAsia" w:ascii="仿宋" w:hAnsi="仿宋" w:eastAsia="仿宋" w:cs="仿宋"/>
          <w:sz w:val="28"/>
          <w:szCs w:val="28"/>
        </w:rPr>
        <w:t>2.设备如需特殊工作条件（如：水、电源、磁场强度、特殊温度、湿度、振动强度等），应在相关文件中加以说明，并提供安装场地要求。报价人必须提供全新的原厂原装货物和完善的服务。</w:t>
      </w:r>
    </w:p>
    <w:p>
      <w:pPr>
        <w:pStyle w:val="5"/>
        <w:tabs>
          <w:tab w:val="left" w:pos="540"/>
        </w:tabs>
        <w:adjustRightInd w:val="0"/>
        <w:snapToGrid w:val="0"/>
        <w:spacing w:line="360" w:lineRule="auto"/>
        <w:ind w:left="-141" w:leftChars="-67" w:firstLine="700" w:firstLineChars="250"/>
        <w:rPr>
          <w:rFonts w:ascii="仿宋" w:hAnsi="仿宋" w:eastAsia="仿宋" w:cs="仿宋"/>
          <w:sz w:val="28"/>
          <w:szCs w:val="28"/>
        </w:rPr>
      </w:pPr>
      <w:r>
        <w:rPr>
          <w:rFonts w:hint="eastAsia" w:ascii="仿宋" w:hAnsi="仿宋" w:eastAsia="仿宋" w:cs="仿宋"/>
          <w:sz w:val="28"/>
          <w:szCs w:val="28"/>
        </w:rPr>
        <w:t>3.报价人提供相应货物的技术规格文件，说明货物的型号、商标名称及生产厂家。</w:t>
      </w:r>
    </w:p>
    <w:p>
      <w:pPr>
        <w:pStyle w:val="5"/>
        <w:tabs>
          <w:tab w:val="left" w:pos="540"/>
        </w:tabs>
        <w:adjustRightInd w:val="0"/>
        <w:snapToGrid w:val="0"/>
        <w:spacing w:line="360" w:lineRule="auto"/>
        <w:ind w:left="-141" w:leftChars="-67" w:firstLine="700" w:firstLineChars="250"/>
        <w:rPr>
          <w:rFonts w:ascii="仿宋" w:hAnsi="仿宋" w:eastAsia="仿宋" w:cs="仿宋"/>
          <w:sz w:val="28"/>
          <w:szCs w:val="28"/>
        </w:rPr>
      </w:pPr>
      <w:r>
        <w:rPr>
          <w:rFonts w:hint="eastAsia" w:ascii="仿宋" w:hAnsi="仿宋" w:eastAsia="仿宋" w:cs="仿宋"/>
          <w:sz w:val="28"/>
          <w:szCs w:val="28"/>
        </w:rPr>
        <w:t>4.货物的制造和检验，必须是按照现</w:t>
      </w:r>
      <w:bookmarkStart w:id="0" w:name="_GoBack"/>
      <w:bookmarkEnd w:id="0"/>
      <w:r>
        <w:rPr>
          <w:rFonts w:hint="eastAsia" w:ascii="仿宋" w:hAnsi="仿宋" w:eastAsia="仿宋" w:cs="仿宋"/>
          <w:sz w:val="28"/>
          <w:szCs w:val="28"/>
        </w:rPr>
        <w:t>行的中国国家标准。</w:t>
      </w:r>
    </w:p>
    <w:p>
      <w:pPr>
        <w:snapToGrid w:val="0"/>
        <w:spacing w:beforeLines="50" w:afterLines="50" w:line="360" w:lineRule="auto"/>
        <w:jc w:val="center"/>
        <w:rPr>
          <w:rFonts w:ascii="仿宋" w:hAnsi="仿宋" w:eastAsia="仿宋" w:cs="仿宋"/>
          <w:sz w:val="28"/>
          <w:szCs w:val="28"/>
        </w:rPr>
      </w:pPr>
    </w:p>
    <w:p>
      <w:pPr>
        <w:rPr>
          <w:rFonts w:ascii="仿宋" w:hAnsi="仿宋" w:eastAsia="仿宋" w:cs="仿宋"/>
          <w:sz w:val="28"/>
          <w:szCs w:val="28"/>
        </w:rPr>
      </w:pPr>
    </w:p>
    <w:sectPr>
      <w:footerReference r:id="rId3" w:type="default"/>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ED54D4"/>
    <w:rsid w:val="000A1B78"/>
    <w:rsid w:val="000A1D59"/>
    <w:rsid w:val="00135B20"/>
    <w:rsid w:val="0016174C"/>
    <w:rsid w:val="001E730A"/>
    <w:rsid w:val="001F7C26"/>
    <w:rsid w:val="0027112D"/>
    <w:rsid w:val="002B49C3"/>
    <w:rsid w:val="00301FEF"/>
    <w:rsid w:val="00320308"/>
    <w:rsid w:val="003653D0"/>
    <w:rsid w:val="003853CB"/>
    <w:rsid w:val="003B3FF3"/>
    <w:rsid w:val="00525493"/>
    <w:rsid w:val="005423C3"/>
    <w:rsid w:val="005907FE"/>
    <w:rsid w:val="0063016E"/>
    <w:rsid w:val="00682075"/>
    <w:rsid w:val="00A32172"/>
    <w:rsid w:val="00AA3E77"/>
    <w:rsid w:val="00AC5560"/>
    <w:rsid w:val="00B651B0"/>
    <w:rsid w:val="00B77A0A"/>
    <w:rsid w:val="00BA508F"/>
    <w:rsid w:val="00C81172"/>
    <w:rsid w:val="00CC3B8C"/>
    <w:rsid w:val="00CC52D6"/>
    <w:rsid w:val="00D16419"/>
    <w:rsid w:val="00D32B1A"/>
    <w:rsid w:val="00DB4AE7"/>
    <w:rsid w:val="00DB50B2"/>
    <w:rsid w:val="00DE0EA9"/>
    <w:rsid w:val="00E53FDC"/>
    <w:rsid w:val="02CB7A31"/>
    <w:rsid w:val="03304F39"/>
    <w:rsid w:val="0348561F"/>
    <w:rsid w:val="04324545"/>
    <w:rsid w:val="04E4605B"/>
    <w:rsid w:val="05320265"/>
    <w:rsid w:val="05ED54D4"/>
    <w:rsid w:val="063F0774"/>
    <w:rsid w:val="065330B1"/>
    <w:rsid w:val="06B00839"/>
    <w:rsid w:val="082740F7"/>
    <w:rsid w:val="09C04B5F"/>
    <w:rsid w:val="0BB91630"/>
    <w:rsid w:val="0BF7270C"/>
    <w:rsid w:val="0C9B62F0"/>
    <w:rsid w:val="0E735230"/>
    <w:rsid w:val="0EB45119"/>
    <w:rsid w:val="0EF24873"/>
    <w:rsid w:val="10A54CA7"/>
    <w:rsid w:val="10F43704"/>
    <w:rsid w:val="114931FF"/>
    <w:rsid w:val="11BC1608"/>
    <w:rsid w:val="128A40AE"/>
    <w:rsid w:val="12B15A13"/>
    <w:rsid w:val="171D0581"/>
    <w:rsid w:val="17690329"/>
    <w:rsid w:val="192B1A6C"/>
    <w:rsid w:val="19B06B23"/>
    <w:rsid w:val="19D436EC"/>
    <w:rsid w:val="1B7140EC"/>
    <w:rsid w:val="1C6F6CDD"/>
    <w:rsid w:val="1DD973AC"/>
    <w:rsid w:val="1EAF37AD"/>
    <w:rsid w:val="1F222728"/>
    <w:rsid w:val="1F31318A"/>
    <w:rsid w:val="205A08CE"/>
    <w:rsid w:val="208B01C9"/>
    <w:rsid w:val="21103C4A"/>
    <w:rsid w:val="221205B9"/>
    <w:rsid w:val="228B250F"/>
    <w:rsid w:val="22BC5321"/>
    <w:rsid w:val="25A30C34"/>
    <w:rsid w:val="25DD0593"/>
    <w:rsid w:val="26557D7A"/>
    <w:rsid w:val="26B76EED"/>
    <w:rsid w:val="27BD0A24"/>
    <w:rsid w:val="29851D55"/>
    <w:rsid w:val="2B100C81"/>
    <w:rsid w:val="2CB233FD"/>
    <w:rsid w:val="2EA72206"/>
    <w:rsid w:val="2F343D09"/>
    <w:rsid w:val="2F5B2E8D"/>
    <w:rsid w:val="2FD05F11"/>
    <w:rsid w:val="2FD3729E"/>
    <w:rsid w:val="30003606"/>
    <w:rsid w:val="30DB76D3"/>
    <w:rsid w:val="30EB443C"/>
    <w:rsid w:val="31AF43A3"/>
    <w:rsid w:val="34262DD4"/>
    <w:rsid w:val="34A05EDD"/>
    <w:rsid w:val="34C67541"/>
    <w:rsid w:val="36A20F1D"/>
    <w:rsid w:val="37EF5724"/>
    <w:rsid w:val="381547DF"/>
    <w:rsid w:val="38801C20"/>
    <w:rsid w:val="39DE052B"/>
    <w:rsid w:val="3A3552C1"/>
    <w:rsid w:val="3A9F21CC"/>
    <w:rsid w:val="3ADD6EDE"/>
    <w:rsid w:val="3B7569D9"/>
    <w:rsid w:val="3CB321B3"/>
    <w:rsid w:val="3DA63CF0"/>
    <w:rsid w:val="3DBA4BFA"/>
    <w:rsid w:val="3F174E26"/>
    <w:rsid w:val="41325793"/>
    <w:rsid w:val="419A1BFF"/>
    <w:rsid w:val="42D34552"/>
    <w:rsid w:val="43104A94"/>
    <w:rsid w:val="44F16056"/>
    <w:rsid w:val="45441BE9"/>
    <w:rsid w:val="45F0329F"/>
    <w:rsid w:val="46387DF1"/>
    <w:rsid w:val="46D855FF"/>
    <w:rsid w:val="48107DBD"/>
    <w:rsid w:val="48BD0DA4"/>
    <w:rsid w:val="491E3340"/>
    <w:rsid w:val="4A062F73"/>
    <w:rsid w:val="4A7D46B9"/>
    <w:rsid w:val="4B9C36F1"/>
    <w:rsid w:val="4BEA48BA"/>
    <w:rsid w:val="4BED30F0"/>
    <w:rsid w:val="4CBC1B58"/>
    <w:rsid w:val="4CBC4CCE"/>
    <w:rsid w:val="4FFD6338"/>
    <w:rsid w:val="50C50CAC"/>
    <w:rsid w:val="55BF768E"/>
    <w:rsid w:val="59A6613E"/>
    <w:rsid w:val="5B0C3A00"/>
    <w:rsid w:val="5BCE2E40"/>
    <w:rsid w:val="5CA02D87"/>
    <w:rsid w:val="5FE35FA0"/>
    <w:rsid w:val="61142D66"/>
    <w:rsid w:val="63E9764A"/>
    <w:rsid w:val="64342B5E"/>
    <w:rsid w:val="64791B0C"/>
    <w:rsid w:val="653D6CBE"/>
    <w:rsid w:val="65E42CF3"/>
    <w:rsid w:val="66106D6D"/>
    <w:rsid w:val="665E202D"/>
    <w:rsid w:val="69077415"/>
    <w:rsid w:val="6A1432B7"/>
    <w:rsid w:val="6A677E24"/>
    <w:rsid w:val="6BF82895"/>
    <w:rsid w:val="6C4C75D9"/>
    <w:rsid w:val="7070580D"/>
    <w:rsid w:val="708839B2"/>
    <w:rsid w:val="70D54217"/>
    <w:rsid w:val="70DD3BC0"/>
    <w:rsid w:val="74481F8A"/>
    <w:rsid w:val="74E0054B"/>
    <w:rsid w:val="77D63A49"/>
    <w:rsid w:val="7B8231AC"/>
    <w:rsid w:val="7CDF46C1"/>
    <w:rsid w:val="7D9D627A"/>
    <w:rsid w:val="7ED2365F"/>
    <w:rsid w:val="7F942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Theme="minorEastAsia" w:cstheme="minorBidi"/>
      <w:sz w:val="21"/>
      <w:szCs w:val="22"/>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kern w:val="44"/>
      <w:sz w:val="48"/>
      <w:szCs w:val="48"/>
    </w:rPr>
  </w:style>
  <w:style w:type="paragraph" w:styleId="3">
    <w:name w:val="heading 3"/>
    <w:basedOn w:val="1"/>
    <w:next w:val="1"/>
    <w:semiHidden/>
    <w:unhideWhenUsed/>
    <w:qFormat/>
    <w:uiPriority w:val="0"/>
    <w:pPr>
      <w:spacing w:beforeAutospacing="1" w:afterAutospacing="1"/>
      <w:outlineLvl w:val="2"/>
    </w:pPr>
    <w:rPr>
      <w:rFonts w:hint="eastAsia" w:ascii="宋体" w:hAnsi="宋体" w:eastAsia="宋体" w:cs="Times New Roman"/>
      <w:b/>
      <w:sz w:val="27"/>
      <w:szCs w:val="27"/>
    </w:rPr>
  </w:style>
  <w:style w:type="character" w:default="1" w:styleId="10">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pPr>
      <w:autoSpaceDE/>
      <w:autoSpaceDN/>
      <w:adjustRightInd/>
      <w:jc w:val="both"/>
    </w:pPr>
    <w:rPr>
      <w:rFonts w:ascii="宋体" w:hAnsi="Courier New"/>
      <w:szCs w:val="21"/>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spacing w:beforeAutospacing="1" w:afterAutospacing="1"/>
    </w:pPr>
    <w:rPr>
      <w:rFonts w:cs="Times New Roman"/>
      <w:sz w:val="24"/>
    </w:rPr>
  </w:style>
  <w:style w:type="paragraph" w:customStyle="1" w:styleId="12">
    <w:name w:val="图"/>
    <w:basedOn w:val="1"/>
    <w:qFormat/>
    <w:uiPriority w:val="0"/>
    <w:pPr>
      <w:keepNext/>
      <w:autoSpaceDE/>
      <w:autoSpaceDN/>
      <w:spacing w:before="60" w:after="60" w:line="300" w:lineRule="auto"/>
      <w:jc w:val="center"/>
      <w:textAlignment w:val="center"/>
    </w:pPr>
    <w:rPr>
      <w:snapToGrid w:val="0"/>
      <w:spacing w:val="20"/>
      <w:sz w:val="24"/>
    </w:rPr>
  </w:style>
  <w:style w:type="character" w:customStyle="1" w:styleId="13">
    <w:name w:val="font11"/>
    <w:basedOn w:val="10"/>
    <w:qFormat/>
    <w:uiPriority w:val="0"/>
    <w:rPr>
      <w:rFonts w:hint="eastAsia" w:ascii="宋体" w:hAnsi="宋体" w:eastAsia="宋体" w:cs="宋体"/>
      <w:color w:val="000000"/>
      <w:sz w:val="20"/>
      <w:szCs w:val="20"/>
      <w:u w:val="none"/>
    </w:rPr>
  </w:style>
  <w:style w:type="paragraph" w:customStyle="1" w:styleId="14">
    <w:name w:val="_Style 6"/>
    <w:basedOn w:val="1"/>
    <w:qFormat/>
    <w:uiPriority w:val="34"/>
    <w:pPr>
      <w:autoSpaceDE/>
      <w:autoSpaceDN/>
      <w:adjustRightInd/>
      <w:ind w:firstLine="420" w:firstLineChars="200"/>
      <w:jc w:val="both"/>
    </w:pPr>
    <w:rPr>
      <w:rFonts w:ascii="Calibri" w:hAnsi="Calibri"/>
      <w:kern w:val="2"/>
    </w:rPr>
  </w:style>
  <w:style w:type="paragraph" w:customStyle="1" w:styleId="15">
    <w:name w:val="正文缩进2格"/>
    <w:basedOn w:val="1"/>
    <w:qFormat/>
    <w:uiPriority w:val="0"/>
    <w:pPr>
      <w:autoSpaceDE/>
      <w:autoSpaceDN/>
      <w:adjustRightInd/>
      <w:spacing w:line="600" w:lineRule="exact"/>
      <w:ind w:firstLine="639" w:firstLineChars="206"/>
      <w:jc w:val="both"/>
    </w:pPr>
    <w:rPr>
      <w:rFonts w:ascii="仿宋_GB2312" w:hAnsi="宋体" w:eastAsia="仿宋_GB2312" w:cs="Times New Roman"/>
      <w:kern w:val="2"/>
      <w:sz w:val="3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04FD69-8378-44EF-92E8-778D7F1F22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513</Words>
  <Characters>2930</Characters>
  <Lines>24</Lines>
  <Paragraphs>6</Paragraphs>
  <TotalTime>37</TotalTime>
  <ScaleCrop>false</ScaleCrop>
  <LinksUpToDate>false</LinksUpToDate>
  <CharactersWithSpaces>3437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2016-12-08T09:42:00Z</dcterms:created>
  <dc:creator>Administrator</dc:creator>
  <cp:lastModifiedBy>浪客剑心</cp:lastModifiedBy>
  <cp:lastPrinted>2016-12-09T04:44:00Z</cp:lastPrinted>
  <dcterms:modified xsi:type="dcterms:W3CDTF">2018-11-05T06:39:05Z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