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cs="宋体" w:eastAsiaTheme="majorEastAsia"/>
          <w:b/>
          <w:color w:val="auto"/>
          <w:sz w:val="44"/>
          <w:szCs w:val="44"/>
          <w:highlight w:val="none"/>
          <w:lang w:val="zh-CN"/>
        </w:rPr>
      </w:pPr>
      <w:bookmarkStart w:id="0" w:name="_Toc7056"/>
      <w:bookmarkStart w:id="1" w:name="_Toc534920140"/>
      <w:bookmarkStart w:id="2" w:name="_Toc14066"/>
      <w:bookmarkStart w:id="3" w:name="_Toc1650"/>
      <w:bookmarkStart w:id="4" w:name="_Toc19140"/>
      <w:bookmarkStart w:id="5" w:name="_Toc14507"/>
      <w:bookmarkStart w:id="6" w:name="_Toc12528"/>
      <w:r>
        <w:rPr>
          <w:rFonts w:hint="eastAsia" w:ascii="仿宋_GB2312" w:hAnsi="Calibri" w:eastAsia="仿宋_GB2312"/>
          <w:color w:val="auto"/>
          <w:sz w:val="32"/>
          <w:szCs w:val="32"/>
          <w:highlight w:val="none"/>
        </w:rPr>
        <w:t>附件2：</w:t>
      </w:r>
    </w:p>
    <w:p>
      <w:pPr>
        <w:jc w:val="center"/>
        <w:rPr>
          <w:rFonts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广东松山职业技术学院</w:t>
      </w:r>
    </w:p>
    <w:p>
      <w:pPr>
        <w:jc w:val="center"/>
        <w:rPr>
          <w:rFonts w:ascii="方正小标宋简体" w:hAnsi="方正小标宋简体" w:eastAsia="方正小标宋简体" w:cs="方正小标宋简体"/>
          <w:bCs/>
          <w:color w:val="auto"/>
          <w:sz w:val="36"/>
          <w:szCs w:val="36"/>
          <w:highlight w:val="none"/>
        </w:rPr>
      </w:pPr>
      <w:r>
        <w:rPr>
          <w:rFonts w:hint="eastAsia" w:ascii="方正小标宋简体" w:hAnsi="方正小标宋简体" w:eastAsia="方正小标宋简体" w:cs="方正小标宋简体"/>
          <w:bCs/>
          <w:color w:val="auto"/>
          <w:sz w:val="36"/>
          <w:szCs w:val="36"/>
          <w:highlight w:val="none"/>
        </w:rPr>
        <w:t>人员及车辆进出管理系统用户需求书</w:t>
      </w:r>
    </w:p>
    <w:p>
      <w:pPr>
        <w:pStyle w:val="2"/>
        <w:rPr>
          <w:color w:val="auto"/>
          <w:highlight w:val="none"/>
        </w:rPr>
      </w:pPr>
    </w:p>
    <w:bookmarkEnd w:id="0"/>
    <w:bookmarkEnd w:id="1"/>
    <w:bookmarkEnd w:id="2"/>
    <w:bookmarkEnd w:id="3"/>
    <w:bookmarkEnd w:id="4"/>
    <w:bookmarkEnd w:id="5"/>
    <w:bookmarkEnd w:id="6"/>
    <w:p>
      <w:pPr>
        <w:autoSpaceDE w:val="0"/>
        <w:autoSpaceDN w:val="0"/>
        <w:spacing w:line="560" w:lineRule="exact"/>
        <w:ind w:firstLine="643" w:firstLineChars="200"/>
        <w:rPr>
          <w:rFonts w:eastAsia="仿宋"/>
          <w:b/>
          <w:color w:val="auto"/>
          <w:sz w:val="32"/>
          <w:szCs w:val="32"/>
          <w:highlight w:val="none"/>
        </w:rPr>
      </w:pPr>
      <w:r>
        <w:rPr>
          <w:rFonts w:hint="eastAsia" w:ascii="宋体" w:hAnsi="宋体" w:eastAsia="仿宋" w:cs="宋体"/>
          <w:b/>
          <w:color w:val="auto"/>
          <w:sz w:val="32"/>
          <w:szCs w:val="32"/>
          <w:highlight w:val="none"/>
        </w:rPr>
        <w:t>一、</w:t>
      </w:r>
      <w:r>
        <w:rPr>
          <w:rFonts w:hint="eastAsia" w:eastAsia="仿宋"/>
          <w:b/>
          <w:color w:val="auto"/>
          <w:sz w:val="32"/>
          <w:szCs w:val="32"/>
          <w:highlight w:val="none"/>
        </w:rPr>
        <w:t>响应供应商资格要求：</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（一）符合《中华人民共和国政府采购法》第二十二条规定的条件；</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（二）具有独立承担民事责任的能力；</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（三）具有良好的商业信誉和健全的财务会计制度；</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（四）具有履行合同所必需的设备和专业技术能力；</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（五）有依法缴纳税收和社会保障资金的良好记录；</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（六）参加政府采购活动前三年内，在经营活动中没有重大违法记录；</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（七）法律、行政法规规定的其他条件；</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（八）具备有效的《广东省安全技术防范系统设计、施工、维修资格证》；</w:t>
      </w:r>
    </w:p>
    <w:p>
      <w:pPr>
        <w:autoSpaceDE w:val="0"/>
        <w:autoSpaceDN w:val="0"/>
        <w:spacing w:line="560" w:lineRule="exact"/>
        <w:ind w:firstLine="640" w:firstLineChars="200"/>
        <w:rPr>
          <w:rFonts w:ascii="宋体" w:hAnsi="宋体" w:eastAsia="仿宋" w:cs="宋体"/>
          <w:color w:val="auto"/>
          <w:kern w:val="0"/>
          <w:sz w:val="32"/>
          <w:szCs w:val="32"/>
          <w:highlight w:val="none"/>
          <w:lang w:bidi="ar"/>
        </w:rPr>
      </w:pPr>
      <w:r>
        <w:rPr>
          <w:rFonts w:hint="eastAsia" w:ascii="宋体" w:hAnsi="宋体" w:eastAsia="仿宋" w:cs="宋体"/>
          <w:color w:val="auto"/>
          <w:kern w:val="0"/>
          <w:sz w:val="32"/>
          <w:szCs w:val="32"/>
          <w:highlight w:val="none"/>
          <w:lang w:bidi="ar"/>
        </w:rPr>
        <w:t>（九）本项目不接受联合体投标。</w:t>
      </w:r>
    </w:p>
    <w:p>
      <w:pPr>
        <w:autoSpaceDE w:val="0"/>
        <w:autoSpaceDN w:val="0"/>
        <w:spacing w:line="560" w:lineRule="exact"/>
        <w:ind w:firstLine="643" w:firstLineChars="200"/>
        <w:rPr>
          <w:rFonts w:ascii="宋体" w:hAnsi="宋体" w:eastAsia="仿宋" w:cs="宋体"/>
          <w:b/>
          <w:bCs/>
          <w:color w:val="auto"/>
          <w:sz w:val="32"/>
          <w:szCs w:val="32"/>
          <w:highlight w:val="none"/>
        </w:rPr>
      </w:pPr>
      <w:r>
        <w:rPr>
          <w:rFonts w:hint="eastAsia" w:ascii="宋体" w:hAnsi="宋体" w:eastAsia="仿宋" w:cs="宋体"/>
          <w:b/>
          <w:bCs/>
          <w:color w:val="auto"/>
          <w:sz w:val="32"/>
          <w:szCs w:val="32"/>
          <w:highlight w:val="none"/>
        </w:rPr>
        <w:t>二、采购内容</w:t>
      </w:r>
    </w:p>
    <w:tbl>
      <w:tblPr>
        <w:tblStyle w:val="17"/>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1127"/>
        <w:gridCol w:w="2835"/>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550" w:type="dxa"/>
            <w:vAlign w:val="center"/>
          </w:tcPr>
          <w:p>
            <w:pPr>
              <w:widowControl/>
              <w:jc w:val="center"/>
              <w:textAlignment w:val="center"/>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采购项目名称</w:t>
            </w:r>
          </w:p>
        </w:tc>
        <w:tc>
          <w:tcPr>
            <w:tcW w:w="1127" w:type="dxa"/>
            <w:vAlign w:val="center"/>
          </w:tcPr>
          <w:p>
            <w:pPr>
              <w:widowControl/>
              <w:jc w:val="center"/>
              <w:textAlignment w:val="center"/>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数量</w:t>
            </w:r>
          </w:p>
        </w:tc>
        <w:tc>
          <w:tcPr>
            <w:tcW w:w="2835" w:type="dxa"/>
            <w:vAlign w:val="center"/>
          </w:tcPr>
          <w:p>
            <w:pPr>
              <w:widowControl/>
              <w:jc w:val="center"/>
              <w:textAlignment w:val="center"/>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服务期</w:t>
            </w:r>
          </w:p>
        </w:tc>
        <w:tc>
          <w:tcPr>
            <w:tcW w:w="1625" w:type="dxa"/>
            <w:vAlign w:val="center"/>
          </w:tcPr>
          <w:p>
            <w:pPr>
              <w:widowControl/>
              <w:jc w:val="center"/>
              <w:textAlignment w:val="center"/>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2550" w:type="dxa"/>
            <w:vAlign w:val="center"/>
          </w:tcPr>
          <w:p>
            <w:pPr>
              <w:pStyle w:val="26"/>
              <w:snapToGrid w:val="0"/>
              <w:spacing w:line="400" w:lineRule="exact"/>
              <w:jc w:val="left"/>
              <w:rPr>
                <w:rFonts w:eastAsia="仿宋" w:cs="宋体"/>
                <w:color w:val="auto"/>
                <w:kern w:val="2"/>
                <w:sz w:val="32"/>
                <w:szCs w:val="32"/>
                <w:highlight w:val="none"/>
              </w:rPr>
            </w:pPr>
            <w:r>
              <w:rPr>
                <w:rFonts w:hint="eastAsia" w:eastAsia="仿宋" w:cs="宋体"/>
                <w:color w:val="auto"/>
                <w:kern w:val="2"/>
                <w:sz w:val="32"/>
                <w:szCs w:val="32"/>
                <w:highlight w:val="none"/>
              </w:rPr>
              <w:t>广东松山职业技术学院人员及车辆进出管理系统用户需求书</w:t>
            </w:r>
          </w:p>
        </w:tc>
        <w:tc>
          <w:tcPr>
            <w:tcW w:w="1127" w:type="dxa"/>
            <w:vAlign w:val="center"/>
          </w:tcPr>
          <w:p>
            <w:pPr>
              <w:pStyle w:val="26"/>
              <w:snapToGrid w:val="0"/>
              <w:spacing w:line="400" w:lineRule="exact"/>
              <w:jc w:val="center"/>
              <w:rPr>
                <w:rFonts w:eastAsia="仿宋" w:cs="宋体"/>
                <w:color w:val="auto"/>
                <w:kern w:val="2"/>
                <w:sz w:val="32"/>
                <w:szCs w:val="32"/>
                <w:highlight w:val="none"/>
              </w:rPr>
            </w:pPr>
            <w:r>
              <w:rPr>
                <w:rFonts w:hint="eastAsia" w:eastAsia="仿宋" w:cs="宋体"/>
                <w:color w:val="auto"/>
                <w:kern w:val="2"/>
                <w:sz w:val="32"/>
                <w:szCs w:val="32"/>
                <w:highlight w:val="none"/>
              </w:rPr>
              <w:t>1项</w:t>
            </w:r>
          </w:p>
        </w:tc>
        <w:tc>
          <w:tcPr>
            <w:tcW w:w="2835" w:type="dxa"/>
            <w:vAlign w:val="center"/>
          </w:tcPr>
          <w:p>
            <w:pPr>
              <w:pStyle w:val="26"/>
              <w:snapToGrid w:val="0"/>
              <w:spacing w:line="400" w:lineRule="exact"/>
              <w:jc w:val="left"/>
              <w:rPr>
                <w:rFonts w:eastAsia="仿宋" w:cs="宋体"/>
                <w:color w:val="auto"/>
                <w:kern w:val="2"/>
                <w:sz w:val="32"/>
                <w:szCs w:val="32"/>
                <w:highlight w:val="none"/>
              </w:rPr>
            </w:pPr>
            <w:r>
              <w:rPr>
                <w:rFonts w:hint="eastAsia" w:eastAsia="仿宋" w:cs="宋体"/>
                <w:color w:val="auto"/>
                <w:kern w:val="2"/>
                <w:sz w:val="32"/>
                <w:szCs w:val="32"/>
                <w:highlight w:val="none"/>
              </w:rPr>
              <w:t>签订合同后30天内按采购人指定的地点安装完成，并交付使用（采购人造成工期延误除外）</w:t>
            </w:r>
          </w:p>
        </w:tc>
        <w:tc>
          <w:tcPr>
            <w:tcW w:w="1625" w:type="dxa"/>
            <w:vAlign w:val="center"/>
          </w:tcPr>
          <w:p>
            <w:pPr>
              <w:pStyle w:val="26"/>
              <w:snapToGrid w:val="0"/>
              <w:spacing w:line="400" w:lineRule="exact"/>
              <w:jc w:val="center"/>
              <w:rPr>
                <w:rFonts w:eastAsia="仿宋" w:cs="宋体"/>
                <w:color w:val="auto"/>
                <w:kern w:val="2"/>
                <w:sz w:val="32"/>
                <w:szCs w:val="32"/>
                <w:highlight w:val="none"/>
              </w:rPr>
            </w:pPr>
            <w:r>
              <w:rPr>
                <w:rFonts w:hint="eastAsia" w:eastAsia="仿宋" w:cs="宋体"/>
                <w:color w:val="auto"/>
                <w:kern w:val="2"/>
                <w:sz w:val="32"/>
                <w:szCs w:val="32"/>
                <w:highlight w:val="none"/>
              </w:rPr>
              <w:t>96340</w:t>
            </w:r>
            <w:r>
              <w:rPr>
                <w:rFonts w:eastAsia="仿宋" w:cs="宋体"/>
                <w:color w:val="auto"/>
                <w:kern w:val="2"/>
                <w:sz w:val="32"/>
                <w:szCs w:val="32"/>
                <w:highlight w:val="none"/>
              </w:rPr>
              <w:t>元</w:t>
            </w:r>
          </w:p>
        </w:tc>
      </w:tr>
    </w:tbl>
    <w:p>
      <w:pPr>
        <w:autoSpaceDE w:val="0"/>
        <w:autoSpaceDN w:val="0"/>
        <w:spacing w:line="360" w:lineRule="auto"/>
        <w:ind w:firstLine="640" w:firstLineChars="200"/>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注：开标时投标报价超过预算金额为无效投标。</w:t>
      </w:r>
    </w:p>
    <w:p>
      <w:pPr>
        <w:autoSpaceDE w:val="0"/>
        <w:autoSpaceDN w:val="0"/>
        <w:spacing w:line="360" w:lineRule="auto"/>
        <w:ind w:firstLine="643" w:firstLineChars="200"/>
        <w:rPr>
          <w:rFonts w:ascii="宋体" w:hAnsi="宋体" w:eastAsia="仿宋" w:cs="宋体"/>
          <w:b/>
          <w:bCs/>
          <w:color w:val="auto"/>
          <w:kern w:val="0"/>
          <w:sz w:val="32"/>
          <w:szCs w:val="32"/>
          <w:highlight w:val="none"/>
          <w:lang w:bidi="ar"/>
        </w:rPr>
      </w:pPr>
      <w:r>
        <w:rPr>
          <w:rFonts w:hint="eastAsia" w:ascii="宋体" w:hAnsi="宋体" w:eastAsia="仿宋" w:cs="宋体"/>
          <w:b/>
          <w:bCs/>
          <w:color w:val="auto"/>
          <w:kern w:val="0"/>
          <w:sz w:val="32"/>
          <w:szCs w:val="32"/>
          <w:highlight w:val="none"/>
          <w:lang w:bidi="ar"/>
        </w:rPr>
        <w:t>三、采购清单及项目技术参数及要求</w:t>
      </w:r>
      <w:bookmarkStart w:id="7" w:name="_GoBack"/>
      <w:bookmarkEnd w:id="7"/>
    </w:p>
    <w:tbl>
      <w:tblPr>
        <w:tblStyle w:val="17"/>
        <w:tblW w:w="9657" w:type="dxa"/>
        <w:tblInd w:w="-679" w:type="dxa"/>
        <w:tblLayout w:type="fixed"/>
        <w:tblCellMar>
          <w:top w:w="0" w:type="dxa"/>
          <w:left w:w="0" w:type="dxa"/>
          <w:bottom w:w="0" w:type="dxa"/>
          <w:right w:w="0" w:type="dxa"/>
        </w:tblCellMar>
      </w:tblPr>
      <w:tblGrid>
        <w:gridCol w:w="685"/>
        <w:gridCol w:w="1449"/>
        <w:gridCol w:w="6561"/>
        <w:gridCol w:w="962"/>
      </w:tblGrid>
      <w:tr>
        <w:tblPrEx>
          <w:tblCellMar>
            <w:top w:w="0" w:type="dxa"/>
            <w:left w:w="0" w:type="dxa"/>
            <w:bottom w:w="0" w:type="dxa"/>
            <w:right w:w="0" w:type="dxa"/>
          </w:tblCellMar>
        </w:tblPrEx>
        <w:trPr>
          <w:trHeight w:val="555" w:hRule="atLeast"/>
        </w:trPr>
        <w:tc>
          <w:tcPr>
            <w:tcW w:w="685" w:type="dxa"/>
            <w:tcBorders>
              <w:top w:val="single" w:color="000000" w:sz="8" w:space="0"/>
              <w:left w:val="single" w:color="000000" w:sz="8" w:space="0"/>
              <w:bottom w:val="single" w:color="000000" w:sz="8" w:space="0"/>
              <w:right w:val="single" w:color="000000" w:sz="8" w:space="0"/>
            </w:tcBorders>
            <w:shd w:val="clear" w:color="auto" w:fill="B8CCE4"/>
            <w:tcMar>
              <w:top w:w="15" w:type="dxa"/>
              <w:left w:w="15" w:type="dxa"/>
              <w:right w:w="15" w:type="dxa"/>
            </w:tcMar>
            <w:vAlign w:val="center"/>
          </w:tcPr>
          <w:p>
            <w:pPr>
              <w:widowControl/>
              <w:jc w:val="center"/>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序号</w:t>
            </w:r>
          </w:p>
        </w:tc>
        <w:tc>
          <w:tcPr>
            <w:tcW w:w="1449" w:type="dxa"/>
            <w:tcBorders>
              <w:top w:val="single" w:color="000000" w:sz="8" w:space="0"/>
              <w:left w:val="single" w:color="000000" w:sz="8" w:space="0"/>
              <w:bottom w:val="single" w:color="000000" w:sz="8" w:space="0"/>
              <w:right w:val="single" w:color="000000" w:sz="8" w:space="0"/>
            </w:tcBorders>
            <w:shd w:val="clear" w:color="auto" w:fill="B8CCE4"/>
            <w:tcMar>
              <w:top w:w="15" w:type="dxa"/>
              <w:left w:w="15" w:type="dxa"/>
              <w:right w:w="15" w:type="dxa"/>
            </w:tcMar>
            <w:vAlign w:val="center"/>
          </w:tcPr>
          <w:p>
            <w:pPr>
              <w:widowControl/>
              <w:jc w:val="center"/>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设备名称</w:t>
            </w:r>
          </w:p>
        </w:tc>
        <w:tc>
          <w:tcPr>
            <w:tcW w:w="6561" w:type="dxa"/>
            <w:tcBorders>
              <w:top w:val="single" w:color="000000" w:sz="8" w:space="0"/>
              <w:left w:val="single" w:color="000000" w:sz="8" w:space="0"/>
              <w:bottom w:val="single" w:color="000000" w:sz="8" w:space="0"/>
              <w:right w:val="single" w:color="000000" w:sz="8" w:space="0"/>
            </w:tcBorders>
            <w:shd w:val="clear" w:color="auto" w:fill="B8CCE4"/>
            <w:tcMar>
              <w:top w:w="15" w:type="dxa"/>
              <w:left w:w="15" w:type="dxa"/>
              <w:right w:w="15" w:type="dxa"/>
            </w:tcMar>
            <w:vAlign w:val="center"/>
          </w:tcPr>
          <w:p>
            <w:pPr>
              <w:widowControl/>
              <w:jc w:val="center"/>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名称及参数</w:t>
            </w:r>
          </w:p>
        </w:tc>
        <w:tc>
          <w:tcPr>
            <w:tcW w:w="962" w:type="dxa"/>
            <w:tcBorders>
              <w:top w:val="single" w:color="000000" w:sz="8" w:space="0"/>
              <w:left w:val="single" w:color="000000" w:sz="8" w:space="0"/>
              <w:bottom w:val="single" w:color="000000" w:sz="8" w:space="0"/>
              <w:right w:val="single" w:color="000000" w:sz="8" w:space="0"/>
            </w:tcBorders>
            <w:shd w:val="clear" w:color="auto" w:fill="B8CCE4"/>
            <w:tcMar>
              <w:top w:w="15" w:type="dxa"/>
              <w:left w:w="15" w:type="dxa"/>
              <w:right w:w="15" w:type="dxa"/>
            </w:tcMar>
            <w:vAlign w:val="center"/>
          </w:tcPr>
          <w:p>
            <w:pPr>
              <w:widowControl/>
              <w:jc w:val="center"/>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数量</w:t>
            </w:r>
          </w:p>
        </w:tc>
      </w:tr>
      <w:tr>
        <w:tblPrEx>
          <w:tblCellMar>
            <w:top w:w="0" w:type="dxa"/>
            <w:left w:w="0" w:type="dxa"/>
            <w:bottom w:w="0" w:type="dxa"/>
            <w:right w:w="0" w:type="dxa"/>
          </w:tblCellMar>
        </w:tblPrEx>
        <w:trPr>
          <w:trHeight w:val="555"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一</w:t>
            </w:r>
          </w:p>
        </w:tc>
        <w:tc>
          <w:tcPr>
            <w:tcW w:w="897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人脸识别进出管理系统</w:t>
            </w:r>
          </w:p>
        </w:tc>
      </w:tr>
      <w:tr>
        <w:tblPrEx>
          <w:tblCellMar>
            <w:top w:w="0" w:type="dxa"/>
            <w:left w:w="0" w:type="dxa"/>
            <w:bottom w:w="0" w:type="dxa"/>
            <w:right w:w="0" w:type="dxa"/>
          </w:tblCellMar>
        </w:tblPrEx>
        <w:trPr>
          <w:trHeight w:val="220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 xml:space="preserve"> 8寸人脸识别终端</w:t>
            </w:r>
            <w:r>
              <w:rPr>
                <w:rFonts w:hint="eastAsia" w:ascii="仿宋" w:hAnsi="仿宋" w:eastAsia="仿宋" w:cs="新宋体"/>
                <w:color w:val="auto"/>
                <w:kern w:val="0"/>
                <w:sz w:val="22"/>
                <w:szCs w:val="22"/>
                <w:highlight w:val="none"/>
                <w:lang w:bidi="ar"/>
              </w:rPr>
              <w:br w:type="textWrapping"/>
            </w:r>
            <w:r>
              <w:rPr>
                <w:rFonts w:hint="eastAsia" w:ascii="仿宋" w:hAnsi="仿宋" w:eastAsia="仿宋" w:cs="新宋体"/>
                <w:color w:val="auto"/>
                <w:kern w:val="0"/>
                <w:sz w:val="22"/>
                <w:szCs w:val="22"/>
                <w:highlight w:val="none"/>
                <w:lang w:bidi="ar"/>
              </w:rPr>
              <w:t>（双目触屏Linux/壁挂安装）</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442" w:firstLineChars="200"/>
              <w:jc w:val="left"/>
              <w:textAlignment w:val="center"/>
              <w:rPr>
                <w:rFonts w:ascii="仿宋" w:hAnsi="仿宋" w:eastAsia="仿宋" w:cs="新宋体"/>
                <w:b/>
                <w:color w:val="auto"/>
                <w:kern w:val="0"/>
                <w:sz w:val="22"/>
                <w:szCs w:val="22"/>
                <w:highlight w:val="none"/>
                <w:lang w:bidi="ar"/>
              </w:rPr>
            </w:pPr>
            <w:r>
              <w:rPr>
                <w:rFonts w:hint="eastAsia" w:ascii="仿宋" w:hAnsi="仿宋" w:eastAsia="仿宋" w:cs="新宋体"/>
                <w:b/>
                <w:color w:val="auto"/>
                <w:kern w:val="0"/>
                <w:sz w:val="22"/>
                <w:szCs w:val="22"/>
                <w:highlight w:val="none"/>
                <w:lang w:bidi="ar"/>
              </w:rPr>
              <w:t>一、基本参数：</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8英寸全高清屏，双目高清摄像头，Linux操作系统，全铝外壳，4米内识别，300毫秒内开门，配有百兆网口，支持多语言，支持户内、外场景使用。</w:t>
            </w:r>
          </w:p>
          <w:p>
            <w:pPr>
              <w:widowControl/>
              <w:ind w:firstLine="442" w:firstLineChars="200"/>
              <w:jc w:val="left"/>
              <w:textAlignment w:val="center"/>
              <w:rPr>
                <w:rFonts w:ascii="仿宋" w:hAnsi="仿宋" w:eastAsia="仿宋" w:cs="新宋体"/>
                <w:b/>
                <w:color w:val="auto"/>
                <w:kern w:val="0"/>
                <w:sz w:val="22"/>
                <w:szCs w:val="22"/>
                <w:highlight w:val="none"/>
                <w:lang w:bidi="ar"/>
              </w:rPr>
            </w:pPr>
            <w:r>
              <w:rPr>
                <w:rFonts w:hint="eastAsia" w:ascii="仿宋" w:hAnsi="仿宋" w:eastAsia="仿宋" w:cs="新宋体"/>
                <w:b/>
                <w:color w:val="auto"/>
                <w:kern w:val="0"/>
                <w:sz w:val="22"/>
                <w:szCs w:val="22"/>
                <w:highlight w:val="none"/>
                <w:lang w:bidi="ar"/>
              </w:rPr>
              <w:t>二、核心功能：</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 xml:space="preserve">▲支持人脸识别开门、平台远程开门；支持陌生人人过留影，支持语音提示，支持活体检测，支持广告投放。  </w:t>
            </w:r>
            <w:r>
              <w:rPr>
                <w:rFonts w:ascii="仿宋" w:hAnsi="仿宋" w:eastAsia="仿宋" w:cs="新宋体"/>
                <w:color w:val="auto"/>
                <w:kern w:val="0"/>
                <w:sz w:val="22"/>
                <w:szCs w:val="22"/>
                <w:highlight w:val="none"/>
                <w:lang w:bidi="ar"/>
              </w:rPr>
              <w:t xml:space="preserve">  </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系统支持不同的识别方式；无论IC卡，身份证，白名单，都能进行比对。</w:t>
            </w:r>
            <w:r>
              <w:rPr>
                <w:rFonts w:ascii="仿宋" w:hAnsi="仿宋" w:eastAsia="仿宋" w:cs="新宋体"/>
                <w:color w:val="auto"/>
                <w:kern w:val="0"/>
                <w:sz w:val="22"/>
                <w:szCs w:val="22"/>
                <w:highlight w:val="none"/>
                <w:lang w:bidi="ar"/>
              </w:rPr>
              <w:t xml:space="preserve"> </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二次开发后支持远程升级、支持云端管理、反扫二维码开门。</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▲屏下刷卡模块，外置维码读头、身份证阅读器，内置WiFi模块、4G模块。</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▲防护等级：IP65防水防尘（提供第三方权威检测报告，提供复印件）。</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2台</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出门按钮</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440" w:firstLineChars="200"/>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经典造型之常开常闭的塑料开关，手感好；NO/NC常开常闭型，带夜光指示，需挖孔或者预埋底盒安装，或配P86塑料明装底盒安装；铁质中板，图案为丝印；重量：0.095Kg/个。</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2个</w:t>
            </w:r>
          </w:p>
        </w:tc>
      </w:tr>
      <w:tr>
        <w:tblPrEx>
          <w:tblCellMar>
            <w:top w:w="0" w:type="dxa"/>
            <w:left w:w="0" w:type="dxa"/>
            <w:bottom w:w="0" w:type="dxa"/>
            <w:right w:w="0" w:type="dxa"/>
          </w:tblCellMar>
        </w:tblPrEx>
        <w:trPr>
          <w:trHeight w:val="56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3</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系统软件</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1.人脸识别门禁管理系统能够对人脸识别终端进行管理，实现通行人员记录监控、远程开门、访客登记、人员登记、设备管理、设备参数修改、名单管理、名单快速录入、历史数据管理等功能，通过本系统能快速管理人脸识别终端，对人脸识别终端进行远程配置和操作。</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2.实时监控：人脸识别门禁管理系统主界面实时显示所有设备的比对记录信息，并且在主页显示比对的照片和信息。</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3.访客登记：人脸识别门禁管理系统支持登记访客信息，并下发到设备上进行人脸识别。</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4.远程开门：人脸识别门禁管理系统支持远程控制人脸识别终端进行开门操作。</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5.设备管理：人脸识别门禁管理系统支持对人脸识别终端进行设备管理，可将设备添加到人脸识别门禁管理系统中，可将设备从人脸识别门禁管理系统中移除，亦可通过人脸识别门禁管理系统对设备参数进行修改。</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6.白名单登记：人脸识别门禁管理系统支持登记白名单人员，并下发到设备上进行人脸识别，实现固定人员刷脸通行。</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7.白名单管理：人脸识别门禁管理系统支持白名单数据的分组管理，白名单人员的增加、修改、删除功能，可批量导入白名单数据，可批量导出白名单数据。</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8.名单同步：人脸识别门禁管理系统支持与人脸识别终端名单手动同步。</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9.黑名单管理：人脸识别门禁管理系统支持黑名单数据的增加、修改、删除功能，可批量导入黑名单数据，可批量导出黑名单数据。</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10.黑名单预警：人脸识别门禁管理系统支持前端黑名单比对后台系统实时预警。</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11.历史数据管理：人脸识别门禁管理系统支持通过条件查找所有比对历史记录。</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12.访客来访事由配置：人脸识别门禁管理系统支持自定义访客来访事由配置，用户可根据实际应用场景自行配置访客来访事由。</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13.考勤统计：人脸识别管理系系统支持自定义考勤规则，并启用不同的考勤规则进行考勤统计。</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14.操作员管理：人脸识别门禁管理系统支持增加、修改、删除系统操作员。</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15.权限管理：人脸识别门禁管理系统支持不同的操作员使用不同权限，系统管理员可设置不同的操作员权限组。</w:t>
            </w:r>
          </w:p>
          <w:p>
            <w:pPr>
              <w:widowControl/>
              <w:ind w:firstLine="440" w:firstLineChars="200"/>
              <w:jc w:val="left"/>
              <w:textAlignment w:val="center"/>
              <w:rPr>
                <w:rFonts w:ascii="仿宋" w:hAnsi="仿宋" w:eastAsia="仿宋" w:cs="新宋体"/>
                <w:color w:val="auto"/>
                <w:kern w:val="0"/>
                <w:sz w:val="22"/>
                <w:szCs w:val="22"/>
                <w:highlight w:val="none"/>
                <w:lang w:bidi="ar"/>
              </w:rPr>
            </w:pPr>
            <w:r>
              <w:rPr>
                <w:rFonts w:hint="eastAsia" w:ascii="仿宋" w:hAnsi="仿宋" w:eastAsia="仿宋" w:cs="新宋体"/>
                <w:color w:val="auto"/>
                <w:kern w:val="0"/>
                <w:sz w:val="22"/>
                <w:szCs w:val="22"/>
                <w:highlight w:val="none"/>
                <w:lang w:bidi="ar"/>
              </w:rPr>
              <w:t>16.日志管理：人脸识别门禁管理系统支持查看操作员操作日志。</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1套</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4</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备用电池</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bCs/>
                <w:color w:val="auto"/>
                <w:sz w:val="22"/>
                <w:szCs w:val="22"/>
                <w:highlight w:val="none"/>
              </w:rPr>
              <w:t>12V/7HZ</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4个</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5</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备用电池箱</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装置备用电池，壁挂</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5个</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6</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其它</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其它配件（供电、网络）</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1批</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二</w:t>
            </w:r>
          </w:p>
        </w:tc>
        <w:tc>
          <w:tcPr>
            <w:tcW w:w="8972"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感应门部分（行政楼）</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7</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玻璃</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12厘及以上钢化玻璃</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10方</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8</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感应门电机</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120公斤、双门</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1套</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9</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不锈钢包边</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不锈钢包边</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1门</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10</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槽钢</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olor w:val="auto"/>
                <w:highlight w:val="none"/>
              </w:rPr>
            </w:pPr>
            <w:r>
              <w:rPr>
                <w:rFonts w:hint="eastAsia" w:ascii="仿宋" w:hAnsi="仿宋" w:eastAsia="仿宋"/>
                <w:color w:val="auto"/>
                <w:highlight w:val="none"/>
              </w:rPr>
              <w:t>槽钢</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1条</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11</w:t>
            </w:r>
          </w:p>
        </w:tc>
        <w:tc>
          <w:tcPr>
            <w:tcW w:w="1449"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原门拆装</w:t>
            </w:r>
          </w:p>
        </w:tc>
        <w:tc>
          <w:tcPr>
            <w:tcW w:w="6561"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原门拆装</w:t>
            </w:r>
          </w:p>
        </w:tc>
        <w:tc>
          <w:tcPr>
            <w:tcW w:w="962" w:type="dxa"/>
            <w:tcBorders>
              <w:top w:val="single" w:color="000000" w:sz="8"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1门</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auto"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三</w:t>
            </w:r>
          </w:p>
        </w:tc>
        <w:tc>
          <w:tcPr>
            <w:tcW w:w="897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监控系统部分（视频信号并入到学校安防视频监控</w:t>
            </w:r>
            <w:r>
              <w:rPr>
                <w:rFonts w:ascii="仿宋" w:hAnsi="仿宋" w:eastAsia="仿宋" w:cs="新宋体"/>
                <w:b/>
                <w:color w:val="auto"/>
                <w:kern w:val="0"/>
                <w:sz w:val="22"/>
                <w:szCs w:val="22"/>
                <w:highlight w:val="none"/>
                <w:lang w:bidi="ar"/>
              </w:rPr>
              <w:t>管理平台</w:t>
            </w:r>
            <w:r>
              <w:rPr>
                <w:rFonts w:hint="eastAsia" w:ascii="仿宋" w:hAnsi="仿宋" w:eastAsia="仿宋" w:cs="新宋体"/>
                <w:b/>
                <w:color w:val="auto"/>
                <w:kern w:val="0"/>
                <w:sz w:val="22"/>
                <w:szCs w:val="22"/>
                <w:highlight w:val="none"/>
                <w:lang w:bidi="ar"/>
              </w:rPr>
              <w:t>）</w:t>
            </w:r>
          </w:p>
        </w:tc>
      </w:tr>
      <w:tr>
        <w:tblPrEx>
          <w:tblCellMar>
            <w:top w:w="0" w:type="dxa"/>
            <w:left w:w="0" w:type="dxa"/>
            <w:bottom w:w="0" w:type="dxa"/>
            <w:right w:w="0" w:type="dxa"/>
          </w:tblCellMar>
        </w:tblPrEx>
        <w:trPr>
          <w:trHeight w:val="391"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12</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ICR红外阵列筒型网络摄像机</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1/2.7”CMOS ICR;最小照度 0.005Lux @(F1.2,AGC ON) ,0 Lux with IR；</w:t>
            </w:r>
          </w:p>
          <w:p>
            <w:pP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快门 1/3秒至1/100,000秒；镜头 4mm, 水平视场角79°(6mm,8mm,12mm可选)；日夜转换模式 ICR红外滤片式；数字降噪 3D数字降噪；宽动态范围 120dB；视频压缩标准 H.265 /H.264/ MJPEG；帧率 50Hz: 25fps (2560 × 1440,1920 × 1080 ,1280 × 720)；感兴趣区域 ROI支持三码流分别设置1个固定区域；行为分析 越界侦测,区域入侵侦测,进入/离开区域侦测,徘徊侦测,人员聚集侦测,快速运动侦测,停车侦测,物品遗留/拿取侦测；异常侦测 场景变更侦测，虚焦侦测；识别检测 支持人脸侦测。</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4台</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13</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监控电源</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DC12V/2A</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4个</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14</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摄像枪支架</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压铸铝合金材质，表面做喷塑处理</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4个</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15</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其它</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信号线、防水盒、水晶头、插座、线管</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1批</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四</w:t>
            </w:r>
          </w:p>
        </w:tc>
        <w:tc>
          <w:tcPr>
            <w:tcW w:w="8972" w:type="dxa"/>
            <w:gridSpan w:val="3"/>
            <w:tcBorders>
              <w:top w:val="single" w:color="000000" w:sz="8" w:space="0"/>
              <w:left w:val="single" w:color="000000" w:sz="8" w:space="0"/>
              <w:bottom w:val="single" w:color="000000" w:sz="8" w:space="0"/>
              <w:right w:val="nil"/>
            </w:tcBorders>
            <w:shd w:val="clear" w:color="auto" w:fill="auto"/>
            <w:tcMar>
              <w:top w:w="15" w:type="dxa"/>
              <w:left w:w="15" w:type="dxa"/>
              <w:right w:w="15" w:type="dxa"/>
            </w:tcMar>
            <w:vAlign w:val="center"/>
          </w:tcPr>
          <w:p>
            <w:pPr>
              <w:widowControl/>
              <w:jc w:val="left"/>
              <w:textAlignment w:val="center"/>
              <w:rPr>
                <w:rFonts w:ascii="仿宋" w:hAnsi="仿宋" w:eastAsia="仿宋" w:cs="新宋体"/>
                <w:b/>
                <w:color w:val="auto"/>
                <w:sz w:val="22"/>
                <w:szCs w:val="22"/>
                <w:highlight w:val="none"/>
              </w:rPr>
            </w:pPr>
            <w:r>
              <w:rPr>
                <w:rFonts w:hint="eastAsia" w:ascii="仿宋" w:hAnsi="仿宋" w:eastAsia="仿宋" w:cs="新宋体"/>
                <w:b/>
                <w:color w:val="auto"/>
                <w:kern w:val="0"/>
                <w:sz w:val="22"/>
                <w:szCs w:val="22"/>
                <w:highlight w:val="none"/>
                <w:lang w:bidi="ar"/>
              </w:rPr>
              <w:t>车辆进出管理系统（兼容学校第一门岗道闸）</w:t>
            </w:r>
          </w:p>
        </w:tc>
      </w:tr>
      <w:tr>
        <w:tblPrEx>
          <w:tblCellMar>
            <w:top w:w="0" w:type="dxa"/>
            <w:left w:w="0" w:type="dxa"/>
            <w:bottom w:w="0" w:type="dxa"/>
            <w:right w:w="0" w:type="dxa"/>
          </w:tblCellMar>
        </w:tblPrEx>
        <w:trPr>
          <w:trHeight w:val="407"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16</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Style w:val="27"/>
                <w:rFonts w:hint="default" w:ascii="仿宋" w:hAnsi="仿宋" w:eastAsia="仿宋"/>
                <w:b w:val="0"/>
                <w:bCs/>
                <w:color w:val="auto"/>
                <w:highlight w:val="none"/>
                <w:lang w:bidi="ar"/>
              </w:rPr>
              <w:t>一体式高清识别控制机</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▲1、电脑或服务器出现故障，内部车正常进出，临时车正常进出并收费，与访客系统互联互通</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 xml:space="preserve">    2.脱机状态显示屏和语音也可以正常工作</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 xml:space="preserve">    3.视频流和地感触发可自由选择</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 xml:space="preserve">    4.支持多种收费模式（比如岗亭收费模式、中央收费模式和自助缴费模式）</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 xml:space="preserve">    5.车牌模糊对比，提高系统识别率</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 xml:space="preserve">    6.多方向来车、车道过宽等复杂情况，可采用双摄像机识别提高识别率</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 xml:space="preserve">    7.支持多种收费打折模式（如优惠卷打折，酒店打折，车牌打折）</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 xml:space="preserve">    8.多车位多车功能，管理一个车主，多辆车对应多个月租车位的情况 </w:t>
            </w:r>
          </w:p>
          <w:p>
            <w:pPr>
              <w:widowControl/>
              <w:ind w:left="420" w:leftChars="200"/>
              <w:jc w:val="left"/>
              <w:textAlignment w:val="center"/>
              <w:rPr>
                <w:rFonts w:ascii="仿宋" w:hAnsi="仿宋" w:eastAsia="仿宋" w:cs="新宋体"/>
                <w:b/>
                <w:color w:val="auto"/>
                <w:sz w:val="22"/>
                <w:szCs w:val="22"/>
                <w:highlight w:val="none"/>
              </w:rPr>
            </w:pPr>
            <w:r>
              <w:rPr>
                <w:rStyle w:val="28"/>
                <w:rFonts w:hint="default" w:ascii="仿宋" w:hAnsi="仿宋" w:eastAsia="仿宋"/>
                <w:color w:val="auto"/>
                <w:highlight w:val="none"/>
                <w:lang w:bidi="ar"/>
              </w:rPr>
              <w:t>9.完善的无牌车处理机制和污损车牌处理机制</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10.支持手动触发识别和手动修改车牌</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 xml:space="preserve">11.黑名单功能，让停车场更安全，管理更全面  </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12.一体化设计，立体式全配机体</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13.专用计费控制系统</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14.USB接口</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15.集成双色4行原装LED彩色显示屏</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16.标配双系统电源</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17.智能红路灯和背光板</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18.16灯高亮LED补光灯</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19.旋转式底座</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20.内置智能化算法</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21.支持视频、线圈等多种触发抓拍方式</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22.内置车牌、车标、车身颜色识别等功能</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23.集成LED补光灯，支持亮度调节</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24.集成变焦镜头，满足不同监控场景需求</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25.内置白名单功能，可实现对道闸的控制</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26.双码流输出，双快门技术，实现视频与图片同时完美输出</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27.最低照度：0.1 Lux（标准）</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28.信噪比：&gt;50db</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29.电子快门：1/1至1/10000秒，22档</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30.有效像素：200W</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31.最佳拍摄范围：3-10米</w:t>
            </w:r>
            <w:r>
              <w:rPr>
                <w:rStyle w:val="28"/>
                <w:rFonts w:hint="default" w:ascii="仿宋" w:hAnsi="仿宋" w:eastAsia="仿宋"/>
                <w:color w:val="auto"/>
                <w:highlight w:val="none"/>
                <w:lang w:bidi="ar"/>
              </w:rPr>
              <w:br w:type="textWrapping"/>
            </w:r>
            <w:r>
              <w:rPr>
                <w:rStyle w:val="28"/>
                <w:rFonts w:hint="default" w:ascii="仿宋" w:hAnsi="仿宋" w:eastAsia="仿宋"/>
                <w:color w:val="auto"/>
                <w:highlight w:val="none"/>
                <w:lang w:bidi="ar"/>
              </w:rPr>
              <w:t>32.光源</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2套</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17</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LED显示屏</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双色4行原装LED显示屏</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2套</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18</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LED补光灯</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16灯高亮LED补光灯</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2台</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19</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车牌识别系统软件</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▲1.电脑或服务器出现故障，内部车正常进出，临时车正常进出并收费，与访客系统互联互通。</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2.脱机状态显示屏和语音也可正常工作。</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3.视频流和地感触发可自由选择。</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4.支持多种收费模式（比如岗亭收费模式.中央收费模式和自助缴费模式）。</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5.车牌模糊对比，提高系统识别率。</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6.多方向来车.车道过宽等复杂情况，可采用双摄像机识别提高识别率。</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7.支持多种收费打折模式。</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8.多车位多车功能，管理一个车主，多辆车对应多个月租车位 。</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9.完善的无牌车处理机制和污损车牌处理机制。</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10.支持手动触发识别和手动修改车牌。</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11.黑名单功能，让停车场更安全，管理更全面 。</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12.一体化设计，立体式全配机体。</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13.专用计费控制系统。</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14.USB接口。</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15.集成双色4行原装LED彩色显示屏。</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16.标配双系统电源。</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17.智能红路灯和背光板。</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18.16灯高亮LED补光灯。</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19.旋转式底座。</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20.内置智能化算法。</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21.支持视频.线圈等多种触发抓拍方式。</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22.内置车牌.车标.车身颜色识别等功能。</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23.集成LED补光灯，支持亮度调节。</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24.集成变焦镜头，满足不同监控场景需求。</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25.内置白名单功能，可实现对道闸的控制。</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26.双码流输出，双快门技术，实现视频与图片同时完美输出。</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27.最低照度：0.1 Lux（标准）。</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28.信噪比：&gt;50db。</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29.电子快门：1/1至1/10000秒，22档。</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30.有效像素：200W。</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31.最佳拍摄范围：3-10米。</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32.光源发光频率：50Hz。</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33.防护等级：IP66。</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34.重量：2Kg。</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35.复位：手动恢复出厂设置。</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36.存储：TF卡（microSD卡）。</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37.音频压缩：输入输出 G711。</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38.分析帧率：25fps。</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39.图像压缩：H.264 JPEG。</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40.补光灯：内置4颗LED灯，可调亮度（每颗最高功耗1W）。</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41.相机镜头：高清镜头2.8~12mm可调 F1.4。</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42.尺寸规格：355（长）*150（宽）*1600mm（高）。</w:t>
            </w:r>
          </w:p>
          <w:p>
            <w:pPr>
              <w:widowControl/>
              <w:ind w:firstLine="440" w:firstLineChars="200"/>
              <w:jc w:val="left"/>
              <w:textAlignment w:val="center"/>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▲43.可以通过网络远程升级，实现远程维护。</w:t>
            </w:r>
          </w:p>
          <w:p>
            <w:pPr>
              <w:widowControl/>
              <w:ind w:firstLine="440" w:firstLineChars="200"/>
              <w:jc w:val="left"/>
              <w:textAlignment w:val="center"/>
              <w:rPr>
                <w:rFonts w:ascii="仿宋" w:hAnsi="仿宋" w:eastAsia="仿宋" w:cs="新宋体"/>
                <w:color w:val="auto"/>
                <w:sz w:val="22"/>
                <w:szCs w:val="22"/>
                <w:highlight w:val="none"/>
                <w:lang w:bidi="ar"/>
              </w:rPr>
            </w:pPr>
            <w:r>
              <w:rPr>
                <w:rStyle w:val="28"/>
                <w:rFonts w:hint="default" w:ascii="仿宋" w:hAnsi="仿宋" w:eastAsia="仿宋"/>
                <w:color w:val="auto"/>
                <w:highlight w:val="none"/>
                <w:lang w:bidi="ar"/>
              </w:rPr>
              <w:t>▲44.通讯连接方式：SDK、ONVIF、HTTP、RTSP、TCP、RS485、IO 。</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1套</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20</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高清硬识别狗</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软件版本加密，1个加密狗拥有一进一出管理权限，例如三进三出需要3个加密狗，安排在出口收费处</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1个</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21</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减速带</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减速带单个规格500*380*50mm</w:t>
            </w:r>
            <w:r>
              <w:rPr>
                <w:rFonts w:hint="eastAsia" w:ascii="仿宋" w:hAnsi="仿宋" w:eastAsia="仿宋" w:cs="新宋体"/>
                <w:color w:val="auto"/>
                <w:kern w:val="0"/>
                <w:sz w:val="22"/>
                <w:szCs w:val="22"/>
                <w:highlight w:val="none"/>
                <w:lang w:bidi="ar"/>
              </w:rPr>
              <w:br w:type="textWrapping"/>
            </w:r>
            <w:r>
              <w:rPr>
                <w:rFonts w:hint="eastAsia" w:ascii="仿宋" w:hAnsi="仿宋" w:eastAsia="仿宋" w:cs="新宋体"/>
                <w:color w:val="auto"/>
                <w:kern w:val="0"/>
                <w:sz w:val="22"/>
                <w:szCs w:val="22"/>
                <w:highlight w:val="none"/>
                <w:lang w:bidi="ar"/>
              </w:rPr>
              <w:t>（具体根据现场而定）</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4条</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22</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识别区标识</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识别区标识</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2个</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23</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引导划线</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引导划线(进出直线箭头)</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2个</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24</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其它</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路面敷设线路切割、设备混凝土安全岛</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2个</w:t>
            </w:r>
          </w:p>
        </w:tc>
      </w:tr>
      <w:tr>
        <w:tblPrEx>
          <w:tblCellMar>
            <w:top w:w="0" w:type="dxa"/>
            <w:left w:w="0" w:type="dxa"/>
            <w:bottom w:w="0" w:type="dxa"/>
            <w:right w:w="0" w:type="dxa"/>
          </w:tblCellMar>
        </w:tblPrEx>
        <w:trPr>
          <w:trHeight w:val="60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25</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电源线</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220V电源线(设备），RVV 3×2.5mm2</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1卷</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26</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网线</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UTP5-e</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1箱</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27</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信号线</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RVVSP4*0.75mm2</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1卷</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28</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电源线</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摄像抢电源、射灯电源线，RVV 2×1.5mm2</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1卷</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29</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地感线圈</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BV1.0</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3套</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30</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车辆检测器</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车辆检测器（防闸系统）</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3台</w:t>
            </w:r>
          </w:p>
        </w:tc>
      </w:tr>
      <w:tr>
        <w:tblPrEx>
          <w:tblCellMar>
            <w:top w:w="0" w:type="dxa"/>
            <w:left w:w="0" w:type="dxa"/>
            <w:bottom w:w="0" w:type="dxa"/>
            <w:right w:w="0" w:type="dxa"/>
          </w:tblCellMar>
        </w:tblPrEx>
        <w:trPr>
          <w:trHeight w:val="520" w:hRule="atLeast"/>
        </w:trPr>
        <w:tc>
          <w:tcPr>
            <w:tcW w:w="68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31</w:t>
            </w:r>
          </w:p>
        </w:tc>
        <w:tc>
          <w:tcPr>
            <w:tcW w:w="1449"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其它</w:t>
            </w:r>
          </w:p>
        </w:tc>
        <w:tc>
          <w:tcPr>
            <w:tcW w:w="6561"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水晶头、插座、线管</w:t>
            </w:r>
          </w:p>
        </w:tc>
        <w:tc>
          <w:tcPr>
            <w:tcW w:w="96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仿宋" w:hAnsi="仿宋" w:eastAsia="仿宋" w:cs="新宋体"/>
                <w:color w:val="auto"/>
                <w:sz w:val="22"/>
                <w:szCs w:val="22"/>
                <w:highlight w:val="none"/>
              </w:rPr>
            </w:pPr>
            <w:r>
              <w:rPr>
                <w:rFonts w:hint="eastAsia" w:ascii="仿宋" w:hAnsi="仿宋" w:eastAsia="仿宋" w:cs="新宋体"/>
                <w:color w:val="auto"/>
                <w:kern w:val="0"/>
                <w:sz w:val="22"/>
                <w:szCs w:val="22"/>
                <w:highlight w:val="none"/>
                <w:lang w:bidi="ar"/>
              </w:rPr>
              <w:t>1批</w:t>
            </w:r>
          </w:p>
        </w:tc>
      </w:tr>
    </w:tbl>
    <w:p>
      <w:pPr>
        <w:spacing w:line="560" w:lineRule="exact"/>
        <w:ind w:firstLine="643" w:firstLineChars="200"/>
        <w:rPr>
          <w:rFonts w:ascii="宋体" w:hAnsi="宋体" w:eastAsia="仿宋"/>
          <w:color w:val="auto"/>
          <w:sz w:val="32"/>
          <w:szCs w:val="32"/>
          <w:highlight w:val="none"/>
        </w:rPr>
      </w:pPr>
      <w:r>
        <w:rPr>
          <w:rFonts w:hint="eastAsia" w:ascii="宋体" w:hAnsi="宋体" w:eastAsia="仿宋" w:cs="Arial"/>
          <w:b/>
          <w:bCs/>
          <w:color w:val="auto"/>
          <w:sz w:val="32"/>
          <w:szCs w:val="32"/>
          <w:highlight w:val="none"/>
        </w:rPr>
        <w:t>四、其它技术要求：</w:t>
      </w:r>
    </w:p>
    <w:p>
      <w:pPr>
        <w:pStyle w:val="29"/>
        <w:spacing w:line="560" w:lineRule="exact"/>
        <w:ind w:firstLine="640" w:firstLineChars="200"/>
        <w:rPr>
          <w:rFonts w:ascii="宋体" w:hAnsi="宋体" w:eastAsia="仿宋"/>
          <w:color w:val="auto"/>
          <w:sz w:val="32"/>
          <w:szCs w:val="32"/>
          <w:highlight w:val="none"/>
        </w:rPr>
      </w:pPr>
      <w:r>
        <w:rPr>
          <w:rFonts w:hint="eastAsia" w:ascii="宋体" w:hAnsi="宋体" w:eastAsia="仿宋"/>
          <w:color w:val="auto"/>
          <w:sz w:val="32"/>
          <w:szCs w:val="32"/>
          <w:highlight w:val="none"/>
        </w:rPr>
        <w:t>（一</w:t>
      </w:r>
      <w:r>
        <w:rPr>
          <w:rFonts w:ascii="宋体" w:hAnsi="宋体" w:eastAsia="仿宋"/>
          <w:color w:val="auto"/>
          <w:sz w:val="32"/>
          <w:szCs w:val="32"/>
          <w:highlight w:val="none"/>
        </w:rPr>
        <w:t>）</w:t>
      </w:r>
      <w:r>
        <w:rPr>
          <w:rFonts w:hint="eastAsia" w:ascii="宋体" w:hAnsi="宋体" w:eastAsia="仿宋"/>
          <w:color w:val="auto"/>
          <w:sz w:val="32"/>
          <w:szCs w:val="32"/>
          <w:highlight w:val="none"/>
        </w:rPr>
        <w:t>采购人</w:t>
      </w:r>
      <w:r>
        <w:rPr>
          <w:rFonts w:ascii="宋体" w:hAnsi="宋体" w:eastAsia="仿宋"/>
          <w:color w:val="auto"/>
          <w:sz w:val="32"/>
          <w:szCs w:val="32"/>
          <w:highlight w:val="none"/>
        </w:rPr>
        <w:t>提供</w:t>
      </w:r>
      <w:r>
        <w:rPr>
          <w:rFonts w:hint="eastAsia" w:ascii="宋体" w:hAnsi="宋体" w:eastAsia="仿宋"/>
          <w:color w:val="auto"/>
          <w:sz w:val="32"/>
          <w:szCs w:val="32"/>
          <w:highlight w:val="none"/>
        </w:rPr>
        <w:t>台式</w:t>
      </w:r>
      <w:r>
        <w:rPr>
          <w:rFonts w:ascii="宋体" w:hAnsi="宋体" w:eastAsia="仿宋"/>
          <w:color w:val="auto"/>
          <w:sz w:val="32"/>
          <w:szCs w:val="32"/>
          <w:highlight w:val="none"/>
        </w:rPr>
        <w:t>电脑作为</w:t>
      </w:r>
      <w:r>
        <w:rPr>
          <w:rFonts w:hint="eastAsia" w:ascii="宋体" w:hAnsi="宋体" w:eastAsia="仿宋"/>
          <w:color w:val="auto"/>
          <w:sz w:val="32"/>
          <w:szCs w:val="32"/>
          <w:highlight w:val="none"/>
        </w:rPr>
        <w:t>人脸识别进出管理系统、车辆进出管理系统部署</w:t>
      </w:r>
      <w:r>
        <w:rPr>
          <w:rFonts w:ascii="宋体" w:hAnsi="宋体" w:eastAsia="仿宋"/>
          <w:color w:val="auto"/>
          <w:sz w:val="32"/>
          <w:szCs w:val="32"/>
          <w:highlight w:val="none"/>
        </w:rPr>
        <w:t>使用。</w:t>
      </w:r>
    </w:p>
    <w:p>
      <w:pPr>
        <w:pStyle w:val="29"/>
        <w:spacing w:line="560" w:lineRule="exact"/>
        <w:ind w:firstLine="640" w:firstLineChars="200"/>
        <w:rPr>
          <w:rFonts w:hint="eastAsia" w:ascii="宋体" w:hAnsi="宋体" w:eastAsia="仿宋"/>
          <w:color w:val="auto"/>
          <w:sz w:val="32"/>
          <w:szCs w:val="32"/>
          <w:highlight w:val="none"/>
        </w:rPr>
      </w:pPr>
      <w:r>
        <w:rPr>
          <w:rFonts w:hint="eastAsia" w:ascii="宋体" w:hAnsi="宋体" w:eastAsia="仿宋"/>
          <w:color w:val="auto"/>
          <w:sz w:val="32"/>
          <w:szCs w:val="32"/>
          <w:highlight w:val="none"/>
        </w:rPr>
        <w:t>（二</w:t>
      </w:r>
      <w:r>
        <w:rPr>
          <w:rFonts w:ascii="宋体" w:hAnsi="宋体" w:eastAsia="仿宋"/>
          <w:color w:val="auto"/>
          <w:sz w:val="32"/>
          <w:szCs w:val="32"/>
          <w:highlight w:val="none"/>
        </w:rPr>
        <w:t>）</w:t>
      </w:r>
      <w:r>
        <w:rPr>
          <w:rFonts w:hint="eastAsia" w:ascii="宋体" w:hAnsi="宋体" w:eastAsia="仿宋"/>
          <w:color w:val="auto"/>
          <w:sz w:val="32"/>
          <w:szCs w:val="32"/>
          <w:highlight w:val="none"/>
        </w:rPr>
        <w:t>为保证本次招标监控设备能与我校监控系统设备无缝对接与兼容，提供所投监控设备《接入承诺书》。必须承诺所投监控设备产品能并入我校集中监控管理系统的储存、管理，录像的回放查询。</w:t>
      </w:r>
    </w:p>
    <w:p>
      <w:pPr>
        <w:pStyle w:val="29"/>
        <w:spacing w:line="560" w:lineRule="exact"/>
        <w:ind w:firstLine="640" w:firstLineChars="200"/>
        <w:rPr>
          <w:rFonts w:ascii="宋体" w:hAnsi="宋体" w:eastAsia="仿宋"/>
          <w:color w:val="auto"/>
          <w:sz w:val="32"/>
          <w:szCs w:val="32"/>
          <w:highlight w:val="none"/>
        </w:rPr>
      </w:pPr>
      <w:r>
        <w:rPr>
          <w:rFonts w:hint="eastAsia" w:ascii="宋体" w:hAnsi="宋体" w:eastAsia="仿宋"/>
          <w:color w:val="auto"/>
          <w:sz w:val="32"/>
          <w:szCs w:val="32"/>
          <w:highlight w:val="none"/>
        </w:rPr>
        <w:t>我校现有监控管理系统是海康威视安防视频监控系统，综合监控中心  版本：</w:t>
      </w:r>
      <w:r>
        <w:rPr>
          <w:rFonts w:ascii="宋体" w:hAnsi="宋体" w:eastAsia="仿宋"/>
          <w:color w:val="auto"/>
          <w:sz w:val="32"/>
          <w:szCs w:val="32"/>
          <w:highlight w:val="none"/>
        </w:rPr>
        <w:t>V6.3.67574.build20151015</w:t>
      </w:r>
      <w:r>
        <w:rPr>
          <w:rFonts w:hint="eastAsia" w:ascii="宋体" w:hAnsi="宋体" w:eastAsia="仿宋"/>
          <w:color w:val="auto"/>
          <w:sz w:val="32"/>
          <w:szCs w:val="32"/>
          <w:highlight w:val="none"/>
        </w:rPr>
        <w:t>。</w:t>
      </w:r>
    </w:p>
    <w:p>
      <w:pPr>
        <w:pStyle w:val="29"/>
        <w:spacing w:line="560" w:lineRule="exact"/>
        <w:ind w:firstLine="640" w:firstLineChars="200"/>
        <w:rPr>
          <w:rFonts w:hint="eastAsia" w:ascii="宋体" w:hAnsi="宋体" w:eastAsia="仿宋"/>
          <w:color w:val="auto"/>
          <w:sz w:val="32"/>
          <w:szCs w:val="32"/>
          <w:highlight w:val="none"/>
        </w:rPr>
      </w:pPr>
      <w:r>
        <w:rPr>
          <w:rFonts w:hint="eastAsia" w:ascii="宋体" w:hAnsi="宋体" w:eastAsia="仿宋"/>
          <w:color w:val="auto"/>
          <w:sz w:val="32"/>
          <w:szCs w:val="32"/>
          <w:highlight w:val="none"/>
        </w:rPr>
        <w:t>（三</w:t>
      </w:r>
      <w:r>
        <w:rPr>
          <w:rFonts w:ascii="宋体" w:hAnsi="宋体" w:eastAsia="仿宋"/>
          <w:color w:val="auto"/>
          <w:sz w:val="32"/>
          <w:szCs w:val="32"/>
          <w:highlight w:val="none"/>
        </w:rPr>
        <w:t>）</w:t>
      </w:r>
      <w:r>
        <w:rPr>
          <w:rFonts w:hint="eastAsia" w:ascii="宋体" w:hAnsi="宋体" w:eastAsia="仿宋"/>
          <w:color w:val="auto"/>
          <w:sz w:val="32"/>
          <w:szCs w:val="32"/>
          <w:highlight w:val="none"/>
        </w:rPr>
        <w:t>为保证本次招标人脸识别进出管理系统设备能与我校门禁管理系统设备数据对接，提供所投监控设备《接入承诺书》。</w:t>
      </w:r>
    </w:p>
    <w:p>
      <w:pPr>
        <w:pStyle w:val="29"/>
        <w:spacing w:line="560" w:lineRule="exact"/>
        <w:ind w:firstLine="640" w:firstLineChars="200"/>
        <w:rPr>
          <w:rFonts w:ascii="宋体" w:hAnsi="宋体" w:eastAsia="仿宋"/>
          <w:color w:val="auto"/>
          <w:sz w:val="32"/>
          <w:szCs w:val="32"/>
          <w:highlight w:val="none"/>
        </w:rPr>
      </w:pPr>
      <w:r>
        <w:rPr>
          <w:rFonts w:hint="eastAsia" w:ascii="宋体" w:hAnsi="宋体" w:eastAsia="仿宋"/>
          <w:color w:val="auto"/>
          <w:sz w:val="32"/>
          <w:szCs w:val="32"/>
          <w:highlight w:val="none"/>
        </w:rPr>
        <w:t>我校现有门禁管理系统是宇博扬管理软件，版本：</w:t>
      </w:r>
      <w:r>
        <w:rPr>
          <w:rFonts w:ascii="宋体" w:hAnsi="宋体" w:eastAsia="仿宋"/>
          <w:color w:val="auto"/>
          <w:sz w:val="32"/>
          <w:szCs w:val="32"/>
          <w:highlight w:val="none"/>
        </w:rPr>
        <w:t>Ver1.55</w:t>
      </w:r>
      <w:r>
        <w:rPr>
          <w:rFonts w:hint="eastAsia" w:ascii="宋体" w:hAnsi="宋体" w:eastAsia="仿宋"/>
          <w:color w:val="auto"/>
          <w:sz w:val="32"/>
          <w:szCs w:val="32"/>
          <w:highlight w:val="none"/>
        </w:rPr>
        <w:t>。</w:t>
      </w:r>
    </w:p>
    <w:p>
      <w:pPr>
        <w:pStyle w:val="29"/>
        <w:spacing w:line="560" w:lineRule="exact"/>
        <w:ind w:firstLine="640" w:firstLineChars="200"/>
        <w:rPr>
          <w:rFonts w:ascii="宋体" w:hAnsi="宋体" w:eastAsia="仿宋"/>
          <w:color w:val="auto"/>
          <w:sz w:val="32"/>
          <w:szCs w:val="32"/>
          <w:highlight w:val="none"/>
        </w:rPr>
      </w:pPr>
      <w:r>
        <w:rPr>
          <w:rFonts w:hint="eastAsia" w:ascii="宋体" w:hAnsi="宋体" w:eastAsia="仿宋"/>
          <w:color w:val="auto"/>
          <w:sz w:val="32"/>
          <w:szCs w:val="32"/>
          <w:highlight w:val="none"/>
        </w:rPr>
        <w:t>（四</w:t>
      </w:r>
      <w:r>
        <w:rPr>
          <w:rFonts w:ascii="宋体" w:hAnsi="宋体" w:eastAsia="仿宋"/>
          <w:color w:val="auto"/>
          <w:sz w:val="32"/>
          <w:szCs w:val="32"/>
          <w:highlight w:val="none"/>
        </w:rPr>
        <w:t>）</w:t>
      </w:r>
      <w:r>
        <w:rPr>
          <w:rFonts w:hint="eastAsia" w:ascii="宋体" w:hAnsi="宋体" w:eastAsia="仿宋"/>
          <w:color w:val="auto"/>
          <w:sz w:val="32"/>
          <w:szCs w:val="32"/>
          <w:highlight w:val="none"/>
        </w:rPr>
        <w:t>供应商所投“车辆进出管理系统”必须要与“原道闸系统”</w:t>
      </w:r>
      <w:r>
        <w:rPr>
          <w:rFonts w:hint="eastAsia" w:ascii="宋体" w:hAnsi="宋体" w:eastAsia="仿宋"/>
          <w:color w:val="auto"/>
          <w:sz w:val="32"/>
          <w:szCs w:val="32"/>
          <w:highlight w:val="none"/>
          <w:lang w:eastAsia="zh-CN"/>
        </w:rPr>
        <w:t>（型号：红门 HM—ZG—MB）</w:t>
      </w:r>
      <w:r>
        <w:rPr>
          <w:rFonts w:hint="eastAsia" w:ascii="宋体" w:hAnsi="宋体" w:eastAsia="仿宋"/>
          <w:color w:val="auto"/>
          <w:sz w:val="32"/>
          <w:szCs w:val="32"/>
          <w:highlight w:val="none"/>
        </w:rPr>
        <w:t>无缝对接与兼容管理。（提供承诺函）</w:t>
      </w:r>
    </w:p>
    <w:p>
      <w:pPr>
        <w:spacing w:line="560" w:lineRule="exact"/>
        <w:ind w:firstLine="643" w:firstLineChars="200"/>
        <w:rPr>
          <w:rFonts w:ascii="宋体" w:hAnsi="宋体" w:eastAsia="仿宋" w:cs="Arial"/>
          <w:b/>
          <w:bCs/>
          <w:color w:val="auto"/>
          <w:sz w:val="32"/>
          <w:szCs w:val="32"/>
          <w:highlight w:val="none"/>
        </w:rPr>
      </w:pPr>
      <w:r>
        <w:rPr>
          <w:rFonts w:hint="eastAsia" w:ascii="宋体" w:hAnsi="宋体" w:eastAsia="仿宋" w:cs="Arial"/>
          <w:b/>
          <w:bCs/>
          <w:color w:val="auto"/>
          <w:sz w:val="32"/>
          <w:szCs w:val="32"/>
          <w:highlight w:val="none"/>
        </w:rPr>
        <w:t>五、采购项目的商务要求</w:t>
      </w:r>
    </w:p>
    <w:p>
      <w:pPr>
        <w:spacing w:line="560" w:lineRule="exact"/>
        <w:ind w:firstLine="643" w:firstLineChars="200"/>
        <w:rPr>
          <w:rFonts w:ascii="宋体" w:hAnsi="宋体" w:eastAsia="仿宋"/>
          <w:b/>
          <w:color w:val="auto"/>
          <w:sz w:val="32"/>
          <w:szCs w:val="32"/>
          <w:highlight w:val="none"/>
        </w:rPr>
      </w:pPr>
      <w:r>
        <w:rPr>
          <w:rFonts w:hint="eastAsia" w:ascii="宋体" w:hAnsi="宋体" w:eastAsia="仿宋"/>
          <w:b/>
          <w:color w:val="auto"/>
          <w:sz w:val="32"/>
          <w:szCs w:val="32"/>
          <w:highlight w:val="none"/>
        </w:rPr>
        <w:t>（一）交货期及安装地点：</w:t>
      </w:r>
    </w:p>
    <w:p>
      <w:pPr>
        <w:pStyle w:val="29"/>
        <w:spacing w:line="560" w:lineRule="exact"/>
        <w:ind w:firstLine="640" w:firstLineChars="200"/>
        <w:rPr>
          <w:rFonts w:ascii="宋体" w:hAnsi="宋体" w:eastAsia="仿宋"/>
          <w:color w:val="auto"/>
          <w:sz w:val="32"/>
          <w:szCs w:val="32"/>
          <w:highlight w:val="none"/>
        </w:rPr>
      </w:pPr>
      <w:r>
        <w:rPr>
          <w:rFonts w:hint="eastAsia" w:ascii="宋体" w:hAnsi="宋体" w:eastAsia="仿宋"/>
          <w:color w:val="auto"/>
          <w:sz w:val="32"/>
          <w:szCs w:val="32"/>
          <w:highlight w:val="none"/>
        </w:rPr>
        <w:t>签订合同后30个日内按采购人指定的地点安装完成（由采购人造成工期延误除外），并交付使用。设备使用说明书、质量检验证明书、随配附件和工具以及清单等移交采购人。</w:t>
      </w:r>
    </w:p>
    <w:p>
      <w:pPr>
        <w:pStyle w:val="29"/>
        <w:spacing w:line="560" w:lineRule="exact"/>
        <w:ind w:firstLine="643" w:firstLineChars="200"/>
        <w:rPr>
          <w:rFonts w:hAnsi="宋体" w:eastAsia="仿宋" w:cs="宋体"/>
          <w:b/>
          <w:bCs/>
          <w:color w:val="auto"/>
          <w:sz w:val="32"/>
          <w:szCs w:val="32"/>
          <w:highlight w:val="none"/>
        </w:rPr>
      </w:pPr>
      <w:r>
        <w:rPr>
          <w:rFonts w:hint="eastAsia" w:hAnsi="宋体" w:eastAsia="仿宋" w:cs="宋体"/>
          <w:b/>
          <w:color w:val="auto"/>
          <w:sz w:val="32"/>
          <w:szCs w:val="32"/>
          <w:highlight w:val="none"/>
        </w:rPr>
        <w:t>（二）包装、保险及发运、保管要求</w:t>
      </w:r>
    </w:p>
    <w:p>
      <w:pPr>
        <w:adjustRightInd w:val="0"/>
        <w:snapToGrid w:val="0"/>
        <w:spacing w:line="560" w:lineRule="exact"/>
        <w:ind w:firstLine="640" w:firstLineChars="200"/>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1.货物材料的包装必须是制造商原厂包装，其包装均应有良好的防湿、防锈、防潮、防雨、防腐及防碰撞的措施。凡由于包装不良造成的损失和由此产生的费用均由投标人承担。</w:t>
      </w:r>
    </w:p>
    <w:p>
      <w:pPr>
        <w:adjustRightInd w:val="0"/>
        <w:snapToGrid w:val="0"/>
        <w:spacing w:line="560" w:lineRule="exact"/>
        <w:ind w:firstLine="640" w:firstLineChars="200"/>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2.中标人负责将货物材料货到现场过程中的全部运输，包括装卸车、货物现场的搬运。</w:t>
      </w:r>
    </w:p>
    <w:p>
      <w:pPr>
        <w:adjustRightInd w:val="0"/>
        <w:snapToGrid w:val="0"/>
        <w:spacing w:line="560" w:lineRule="exact"/>
        <w:ind w:firstLine="640" w:firstLineChars="200"/>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3.各种货物产品必须提供装箱清单，按装箱清单验收货物。</w:t>
      </w:r>
    </w:p>
    <w:p>
      <w:pPr>
        <w:adjustRightInd w:val="0"/>
        <w:snapToGrid w:val="0"/>
        <w:spacing w:line="560" w:lineRule="exact"/>
        <w:ind w:firstLine="640" w:firstLineChars="200"/>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4.货物在现场的保管由中标人负责，直至项目安装、验收完毕。</w:t>
      </w:r>
    </w:p>
    <w:p>
      <w:pPr>
        <w:adjustRightInd w:val="0"/>
        <w:snapToGrid w:val="0"/>
        <w:spacing w:line="560" w:lineRule="exact"/>
        <w:ind w:firstLine="640" w:firstLineChars="200"/>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5.货物在系统安装调试验收合格前的保险由中标人负责，中标人负责其派出的现场服务人员人身意外保险。</w:t>
      </w:r>
    </w:p>
    <w:p>
      <w:pPr>
        <w:adjustRightInd w:val="0"/>
        <w:snapToGrid w:val="0"/>
        <w:spacing w:line="560" w:lineRule="exact"/>
        <w:ind w:firstLine="640" w:firstLineChars="200"/>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6.设备至采购人指定的使用现场的包装、保险及发运等环节和费用均由中标人负责。</w:t>
      </w:r>
    </w:p>
    <w:p>
      <w:pPr>
        <w:adjustRightInd w:val="0"/>
        <w:snapToGrid w:val="0"/>
        <w:spacing w:line="560" w:lineRule="exact"/>
        <w:ind w:firstLine="643" w:firstLineChars="200"/>
        <w:rPr>
          <w:rFonts w:ascii="宋体" w:hAnsi="宋体" w:eastAsia="仿宋"/>
          <w:b/>
          <w:bCs/>
          <w:color w:val="auto"/>
          <w:sz w:val="32"/>
          <w:szCs w:val="32"/>
          <w:highlight w:val="none"/>
        </w:rPr>
      </w:pPr>
      <w:r>
        <w:rPr>
          <w:rFonts w:hint="eastAsia" w:ascii="宋体" w:hAnsi="宋体" w:eastAsia="仿宋"/>
          <w:b/>
          <w:bCs/>
          <w:color w:val="auto"/>
          <w:sz w:val="32"/>
          <w:szCs w:val="32"/>
          <w:highlight w:val="none"/>
        </w:rPr>
        <w:t>（三）</w:t>
      </w:r>
      <w:r>
        <w:rPr>
          <w:rFonts w:ascii="宋体" w:hAnsi="宋体" w:eastAsia="仿宋"/>
          <w:b/>
          <w:bCs/>
          <w:color w:val="auto"/>
          <w:sz w:val="32"/>
          <w:szCs w:val="32"/>
          <w:highlight w:val="none"/>
        </w:rPr>
        <w:t>质保期：</w:t>
      </w:r>
    </w:p>
    <w:p>
      <w:pPr>
        <w:autoSpaceDE w:val="0"/>
        <w:autoSpaceDN w:val="0"/>
        <w:spacing w:line="560" w:lineRule="exact"/>
        <w:ind w:left="105" w:leftChars="50" w:firstLine="640" w:firstLineChars="200"/>
        <w:rPr>
          <w:rFonts w:ascii="宋体" w:hAnsi="宋体" w:eastAsia="仿宋"/>
          <w:color w:val="auto"/>
          <w:sz w:val="32"/>
          <w:szCs w:val="32"/>
          <w:highlight w:val="none"/>
        </w:rPr>
      </w:pPr>
      <w:r>
        <w:rPr>
          <w:rFonts w:hint="eastAsia" w:ascii="宋体" w:hAnsi="宋体" w:eastAsia="仿宋"/>
          <w:color w:val="auto"/>
          <w:sz w:val="32"/>
          <w:szCs w:val="32"/>
          <w:highlight w:val="none"/>
        </w:rPr>
        <w:t>1.从项目验收合格之日起计算，保质期三年，设备人为损坏的除外；质保期内提供免费上门保修服务。</w:t>
      </w:r>
    </w:p>
    <w:p>
      <w:pPr>
        <w:autoSpaceDE w:val="0"/>
        <w:autoSpaceDN w:val="0"/>
        <w:spacing w:line="560" w:lineRule="exact"/>
        <w:ind w:left="105" w:leftChars="50" w:firstLine="640" w:firstLineChars="200"/>
        <w:rPr>
          <w:rFonts w:ascii="宋体" w:hAnsi="宋体" w:eastAsia="仿宋" w:cs="宋体"/>
          <w:color w:val="auto"/>
          <w:sz w:val="32"/>
          <w:szCs w:val="32"/>
          <w:highlight w:val="none"/>
        </w:rPr>
      </w:pPr>
      <w:r>
        <w:rPr>
          <w:rFonts w:hint="eastAsia" w:ascii="宋体" w:hAnsi="宋体" w:eastAsia="仿宋" w:cs="宋体"/>
          <w:color w:val="auto"/>
          <w:sz w:val="32"/>
          <w:szCs w:val="32"/>
          <w:highlight w:val="none"/>
        </w:rPr>
        <w:t>2.对采购人的服务通知，中标人在接报后1小时内响应，24小时内到达现场，24小时内处理完毕。若在24小时内仍未能有效解决，中标人须免费提供同档次的设备予采购人临时使用。</w:t>
      </w:r>
    </w:p>
    <w:p>
      <w:pPr>
        <w:autoSpaceDE w:val="0"/>
        <w:autoSpaceDN w:val="0"/>
        <w:spacing w:line="560" w:lineRule="exact"/>
        <w:ind w:left="105" w:leftChars="50" w:firstLine="643" w:firstLineChars="200"/>
        <w:rPr>
          <w:rFonts w:ascii="宋体" w:hAnsi="宋体" w:eastAsia="仿宋"/>
          <w:b/>
          <w:bCs/>
          <w:color w:val="auto"/>
          <w:sz w:val="32"/>
          <w:szCs w:val="32"/>
          <w:highlight w:val="none"/>
        </w:rPr>
      </w:pPr>
      <w:r>
        <w:rPr>
          <w:rFonts w:hint="eastAsia" w:ascii="宋体" w:hAnsi="宋体" w:eastAsia="仿宋"/>
          <w:b/>
          <w:bCs/>
          <w:color w:val="auto"/>
          <w:sz w:val="32"/>
          <w:szCs w:val="32"/>
          <w:highlight w:val="none"/>
        </w:rPr>
        <w:t>（四）验收要求：</w:t>
      </w:r>
    </w:p>
    <w:p>
      <w:pPr>
        <w:tabs>
          <w:tab w:val="left" w:pos="900"/>
        </w:tabs>
        <w:autoSpaceDE w:val="0"/>
        <w:autoSpaceDN w:val="0"/>
        <w:adjustRightInd w:val="0"/>
        <w:snapToGrid w:val="0"/>
        <w:spacing w:line="560" w:lineRule="exact"/>
        <w:ind w:firstLine="640" w:firstLineChars="200"/>
        <w:rPr>
          <w:rFonts w:hAnsi="宋体" w:eastAsia="仿宋" w:cs="宋体"/>
          <w:color w:val="auto"/>
          <w:sz w:val="32"/>
          <w:szCs w:val="32"/>
          <w:highlight w:val="none"/>
        </w:rPr>
      </w:pPr>
      <w:r>
        <w:rPr>
          <w:rFonts w:hint="eastAsia" w:ascii="宋体" w:hAnsi="宋体" w:eastAsia="仿宋" w:cs="宋体"/>
          <w:color w:val="auto"/>
          <w:sz w:val="32"/>
          <w:szCs w:val="32"/>
          <w:highlight w:val="none"/>
        </w:rPr>
        <w:t>1.中标人应将货物产品的用户手册、保修手册、有关单证资料及配备件、随机工具等交付给采购人，使用操作及安全须知等重要资料应附有中文说明。</w:t>
      </w:r>
    </w:p>
    <w:p>
      <w:pPr>
        <w:pStyle w:val="10"/>
        <w:tabs>
          <w:tab w:val="left" w:pos="540"/>
        </w:tabs>
        <w:adjustRightInd w:val="0"/>
        <w:snapToGrid w:val="0"/>
        <w:spacing w:line="560" w:lineRule="exact"/>
        <w:ind w:firstLine="640" w:firstLineChars="200"/>
        <w:rPr>
          <w:rFonts w:hAnsi="宋体" w:eastAsia="仿宋" w:cs="宋体"/>
          <w:color w:val="auto"/>
          <w:sz w:val="32"/>
          <w:szCs w:val="32"/>
          <w:highlight w:val="none"/>
        </w:rPr>
      </w:pPr>
      <w:r>
        <w:rPr>
          <w:rFonts w:hint="eastAsia" w:hAnsi="宋体" w:eastAsia="仿宋" w:cs="宋体"/>
          <w:color w:val="auto"/>
          <w:sz w:val="32"/>
          <w:szCs w:val="32"/>
          <w:highlight w:val="none"/>
        </w:rPr>
        <w:t xml:space="preserve">2.货物若有国家标准按照国家标准验收，若无国家标准按行业标准验收，为原制造商制造的全新产品，货物产品无污染，无侵权行为、表面无划损、无任何缺陷隐患，在中国境内可依常规安全合法使用。 </w:t>
      </w:r>
    </w:p>
    <w:p>
      <w:pPr>
        <w:pStyle w:val="10"/>
        <w:tabs>
          <w:tab w:val="left" w:pos="540"/>
        </w:tabs>
        <w:adjustRightInd w:val="0"/>
        <w:snapToGrid w:val="0"/>
        <w:spacing w:line="560" w:lineRule="exact"/>
        <w:ind w:firstLine="643" w:firstLineChars="200"/>
        <w:rPr>
          <w:rFonts w:hAnsi="宋体" w:eastAsia="仿宋"/>
          <w:b/>
          <w:bCs/>
          <w:color w:val="auto"/>
          <w:sz w:val="32"/>
          <w:szCs w:val="32"/>
          <w:highlight w:val="none"/>
        </w:rPr>
      </w:pPr>
      <w:r>
        <w:rPr>
          <w:rFonts w:hint="eastAsia" w:hAnsi="宋体" w:eastAsia="仿宋"/>
          <w:b/>
          <w:bCs/>
          <w:color w:val="auto"/>
          <w:sz w:val="32"/>
          <w:szCs w:val="32"/>
          <w:highlight w:val="none"/>
        </w:rPr>
        <w:t>（五）付款方式：</w:t>
      </w:r>
    </w:p>
    <w:p>
      <w:pPr>
        <w:pStyle w:val="10"/>
        <w:tabs>
          <w:tab w:val="left" w:pos="540"/>
        </w:tabs>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付款方式分二次付款。</w:t>
      </w:r>
    </w:p>
    <w:p>
      <w:pPr>
        <w:pStyle w:val="10"/>
        <w:tabs>
          <w:tab w:val="left" w:pos="540"/>
        </w:tabs>
        <w:adjustRightInd w:val="0"/>
        <w:snapToGrid w:val="0"/>
        <w:spacing w:line="560" w:lineRule="exact"/>
        <w:ind w:firstLine="640" w:firstLineChars="200"/>
        <w:rPr>
          <w:rFonts w:hAnsi="宋体" w:eastAsia="仿宋"/>
          <w:color w:val="auto"/>
          <w:sz w:val="32"/>
          <w:szCs w:val="32"/>
          <w:highlight w:val="none"/>
        </w:rPr>
      </w:pPr>
      <w:r>
        <w:rPr>
          <w:rFonts w:hint="eastAsia" w:ascii="仿宋" w:hAnsi="仿宋" w:eastAsia="仿宋" w:cs="仿宋"/>
          <w:color w:val="auto"/>
          <w:sz w:val="32"/>
          <w:szCs w:val="32"/>
          <w:highlight w:val="none"/>
        </w:rPr>
        <w:t>供应商安装调试完毕，经验收合格后15个工作日内第一次支付合同总价的90%；保质期满三年经验收合格后10个工作日内第二次支付合同总价的</w:t>
      </w:r>
      <w:r>
        <w:rPr>
          <w:rFonts w:ascii="仿宋" w:hAnsi="仿宋" w:eastAsia="仿宋" w:cs="仿宋"/>
          <w:color w:val="auto"/>
          <w:sz w:val="32"/>
          <w:szCs w:val="32"/>
          <w:highlight w:val="none"/>
        </w:rPr>
        <w:t>10</w:t>
      </w:r>
      <w:r>
        <w:rPr>
          <w:rFonts w:hint="eastAsia" w:ascii="仿宋" w:hAnsi="仿宋" w:eastAsia="仿宋" w:cs="仿宋"/>
          <w:color w:val="auto"/>
          <w:sz w:val="32"/>
          <w:szCs w:val="32"/>
          <w:highlight w:val="none"/>
        </w:rPr>
        <w:t>%。</w:t>
      </w:r>
    </w:p>
    <w:p>
      <w:pPr>
        <w:pStyle w:val="2"/>
        <w:ind w:firstLine="643" w:firstLineChars="200"/>
        <w:rPr>
          <w:rFonts w:eastAsia="仿宋"/>
          <w:b/>
          <w:bCs/>
          <w:color w:val="auto"/>
          <w:sz w:val="32"/>
          <w:szCs w:val="32"/>
          <w:highlight w:val="none"/>
        </w:rPr>
      </w:pPr>
      <w:r>
        <w:rPr>
          <w:rFonts w:hint="eastAsia" w:eastAsia="仿宋"/>
          <w:b/>
          <w:bCs/>
          <w:color w:val="auto"/>
          <w:sz w:val="32"/>
          <w:szCs w:val="32"/>
          <w:highlight w:val="none"/>
        </w:rPr>
        <w:t>六、综合评分</w:t>
      </w:r>
    </w:p>
    <w:tbl>
      <w:tblPr>
        <w:tblStyle w:val="18"/>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74" w:type="dxa"/>
            <w:vAlign w:val="center"/>
          </w:tcPr>
          <w:p>
            <w:pPr>
              <w:pStyle w:val="2"/>
              <w:ind w:firstLine="0"/>
              <w:jc w:val="center"/>
              <w:rPr>
                <w:rFonts w:ascii="仿宋" w:hAnsi="仿宋" w:eastAsia="仿宋" w:cs="新宋体"/>
                <w:b/>
                <w:color w:val="auto"/>
                <w:sz w:val="24"/>
                <w:highlight w:val="none"/>
              </w:rPr>
            </w:pPr>
            <w:r>
              <w:rPr>
                <w:rFonts w:hint="eastAsia" w:ascii="仿宋" w:hAnsi="仿宋" w:eastAsia="仿宋" w:cs="新宋体"/>
                <w:b/>
                <w:color w:val="auto"/>
                <w:sz w:val="24"/>
                <w:highlight w:val="none"/>
              </w:rPr>
              <w:t>评分项目</w:t>
            </w:r>
          </w:p>
        </w:tc>
        <w:tc>
          <w:tcPr>
            <w:tcW w:w="2074" w:type="dxa"/>
            <w:vAlign w:val="center"/>
          </w:tcPr>
          <w:p>
            <w:pPr>
              <w:pStyle w:val="2"/>
              <w:ind w:firstLine="0"/>
              <w:jc w:val="center"/>
              <w:rPr>
                <w:rFonts w:ascii="仿宋" w:hAnsi="仿宋" w:eastAsia="仿宋" w:cs="新宋体"/>
                <w:b/>
                <w:color w:val="auto"/>
                <w:sz w:val="24"/>
                <w:highlight w:val="none"/>
              </w:rPr>
            </w:pPr>
            <w:r>
              <w:rPr>
                <w:rFonts w:hint="eastAsia" w:ascii="仿宋" w:hAnsi="仿宋" w:eastAsia="仿宋" w:cs="新宋体"/>
                <w:b/>
                <w:color w:val="auto"/>
                <w:sz w:val="24"/>
                <w:highlight w:val="none"/>
              </w:rPr>
              <w:t>商务</w:t>
            </w:r>
          </w:p>
        </w:tc>
        <w:tc>
          <w:tcPr>
            <w:tcW w:w="2074" w:type="dxa"/>
            <w:vAlign w:val="center"/>
          </w:tcPr>
          <w:p>
            <w:pPr>
              <w:pStyle w:val="2"/>
              <w:ind w:firstLine="0"/>
              <w:jc w:val="center"/>
              <w:rPr>
                <w:rFonts w:ascii="仿宋" w:hAnsi="仿宋" w:eastAsia="仿宋" w:cs="新宋体"/>
                <w:b/>
                <w:color w:val="auto"/>
                <w:sz w:val="24"/>
                <w:highlight w:val="none"/>
              </w:rPr>
            </w:pPr>
            <w:r>
              <w:rPr>
                <w:rFonts w:hint="eastAsia" w:ascii="仿宋" w:hAnsi="仿宋" w:eastAsia="仿宋" w:cs="新宋体"/>
                <w:b/>
                <w:color w:val="auto"/>
                <w:sz w:val="24"/>
                <w:highlight w:val="none"/>
              </w:rPr>
              <w:t>技术</w:t>
            </w:r>
          </w:p>
        </w:tc>
        <w:tc>
          <w:tcPr>
            <w:tcW w:w="2074" w:type="dxa"/>
            <w:vAlign w:val="center"/>
          </w:tcPr>
          <w:p>
            <w:pPr>
              <w:pStyle w:val="2"/>
              <w:ind w:firstLine="0"/>
              <w:jc w:val="center"/>
              <w:rPr>
                <w:rFonts w:ascii="仿宋" w:hAnsi="仿宋" w:eastAsia="仿宋" w:cs="新宋体"/>
                <w:b/>
                <w:color w:val="auto"/>
                <w:sz w:val="24"/>
                <w:highlight w:val="none"/>
              </w:rPr>
            </w:pPr>
            <w:r>
              <w:rPr>
                <w:rFonts w:hint="eastAsia" w:ascii="仿宋" w:hAnsi="仿宋" w:eastAsia="仿宋" w:cs="新宋体"/>
                <w:b/>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vAlign w:val="center"/>
          </w:tcPr>
          <w:p>
            <w:pPr>
              <w:pStyle w:val="2"/>
              <w:ind w:firstLine="0"/>
              <w:jc w:val="center"/>
              <w:rPr>
                <w:rFonts w:ascii="仿宋" w:hAnsi="仿宋" w:eastAsia="仿宋" w:cs="新宋体"/>
                <w:color w:val="auto"/>
                <w:sz w:val="24"/>
                <w:highlight w:val="none"/>
              </w:rPr>
            </w:pPr>
            <w:r>
              <w:rPr>
                <w:rFonts w:hint="eastAsia" w:ascii="仿宋" w:hAnsi="仿宋" w:eastAsia="仿宋" w:cs="新宋体"/>
                <w:color w:val="auto"/>
                <w:sz w:val="24"/>
                <w:highlight w:val="none"/>
              </w:rPr>
              <w:t>权重</w:t>
            </w:r>
          </w:p>
        </w:tc>
        <w:tc>
          <w:tcPr>
            <w:tcW w:w="2074" w:type="dxa"/>
            <w:vAlign w:val="center"/>
          </w:tcPr>
          <w:p>
            <w:pPr>
              <w:pStyle w:val="2"/>
              <w:ind w:firstLine="0"/>
              <w:jc w:val="center"/>
              <w:rPr>
                <w:rFonts w:ascii="仿宋" w:hAnsi="仿宋" w:eastAsia="仿宋" w:cs="新宋体"/>
                <w:color w:val="auto"/>
                <w:sz w:val="24"/>
                <w:highlight w:val="none"/>
              </w:rPr>
            </w:pPr>
            <w:r>
              <w:rPr>
                <w:rFonts w:ascii="仿宋" w:hAnsi="仿宋" w:eastAsia="仿宋" w:cs="新宋体"/>
                <w:color w:val="auto"/>
                <w:sz w:val="24"/>
                <w:highlight w:val="none"/>
              </w:rPr>
              <w:t>20</w:t>
            </w:r>
            <w:r>
              <w:rPr>
                <w:rFonts w:hint="eastAsia" w:ascii="仿宋" w:hAnsi="仿宋" w:eastAsia="仿宋" w:cs="新宋体"/>
                <w:color w:val="auto"/>
                <w:sz w:val="24"/>
                <w:highlight w:val="none"/>
              </w:rPr>
              <w:t>分</w:t>
            </w:r>
          </w:p>
        </w:tc>
        <w:tc>
          <w:tcPr>
            <w:tcW w:w="2074" w:type="dxa"/>
            <w:vAlign w:val="center"/>
          </w:tcPr>
          <w:p>
            <w:pPr>
              <w:pStyle w:val="2"/>
              <w:ind w:firstLine="0"/>
              <w:jc w:val="center"/>
              <w:rPr>
                <w:rFonts w:ascii="仿宋" w:hAnsi="仿宋" w:eastAsia="仿宋" w:cs="新宋体"/>
                <w:color w:val="auto"/>
                <w:sz w:val="24"/>
                <w:highlight w:val="none"/>
              </w:rPr>
            </w:pPr>
            <w:r>
              <w:rPr>
                <w:rFonts w:hint="eastAsia" w:ascii="仿宋" w:hAnsi="仿宋" w:eastAsia="仿宋" w:cs="新宋体"/>
                <w:color w:val="auto"/>
                <w:sz w:val="24"/>
                <w:highlight w:val="none"/>
              </w:rPr>
              <w:t>40分</w:t>
            </w:r>
          </w:p>
        </w:tc>
        <w:tc>
          <w:tcPr>
            <w:tcW w:w="2074" w:type="dxa"/>
            <w:vAlign w:val="center"/>
          </w:tcPr>
          <w:p>
            <w:pPr>
              <w:pStyle w:val="2"/>
              <w:ind w:firstLine="0"/>
              <w:jc w:val="center"/>
              <w:rPr>
                <w:rFonts w:ascii="仿宋" w:hAnsi="仿宋" w:eastAsia="仿宋" w:cs="新宋体"/>
                <w:color w:val="auto"/>
                <w:sz w:val="24"/>
                <w:highlight w:val="none"/>
              </w:rPr>
            </w:pPr>
            <w:r>
              <w:rPr>
                <w:rFonts w:ascii="仿宋" w:hAnsi="仿宋" w:eastAsia="仿宋" w:cs="新宋体"/>
                <w:color w:val="auto"/>
                <w:sz w:val="24"/>
                <w:highlight w:val="none"/>
              </w:rPr>
              <w:t>40</w:t>
            </w:r>
            <w:r>
              <w:rPr>
                <w:rFonts w:hint="eastAsia" w:ascii="仿宋" w:hAnsi="仿宋" w:eastAsia="仿宋" w:cs="新宋体"/>
                <w:color w:val="auto"/>
                <w:sz w:val="24"/>
                <w:highlight w:val="none"/>
              </w:rPr>
              <w:t>分</w:t>
            </w:r>
          </w:p>
        </w:tc>
      </w:tr>
    </w:tbl>
    <w:p>
      <w:pPr>
        <w:pStyle w:val="2"/>
        <w:ind w:firstLine="643"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（一）技术评分标准：（总分：40分）</w:t>
      </w:r>
    </w:p>
    <w:tbl>
      <w:tblPr>
        <w:tblStyle w:val="17"/>
        <w:tblW w:w="85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55"/>
        <w:gridCol w:w="726"/>
        <w:gridCol w:w="5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91" w:type="dxa"/>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序号</w:t>
            </w:r>
          </w:p>
        </w:tc>
        <w:tc>
          <w:tcPr>
            <w:tcW w:w="1855" w:type="dxa"/>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评审项目</w:t>
            </w:r>
          </w:p>
        </w:tc>
        <w:tc>
          <w:tcPr>
            <w:tcW w:w="726" w:type="dxa"/>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分值</w:t>
            </w:r>
          </w:p>
        </w:tc>
        <w:tc>
          <w:tcPr>
            <w:tcW w:w="5279" w:type="dxa"/>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7" w:hRule="atLeast"/>
        </w:trPr>
        <w:tc>
          <w:tcPr>
            <w:tcW w:w="691"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w:t>
            </w:r>
          </w:p>
        </w:tc>
        <w:tc>
          <w:tcPr>
            <w:tcW w:w="1855"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宋体"/>
                <w:color w:val="auto"/>
                <w:szCs w:val="21"/>
                <w:highlight w:val="none"/>
              </w:rPr>
              <w:t>产品可靠性</w:t>
            </w:r>
          </w:p>
        </w:tc>
        <w:tc>
          <w:tcPr>
            <w:tcW w:w="726"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5</w:t>
            </w:r>
          </w:p>
        </w:tc>
        <w:tc>
          <w:tcPr>
            <w:tcW w:w="5279" w:type="dxa"/>
          </w:tcPr>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1.所投</w:t>
            </w:r>
            <w:r>
              <w:rPr>
                <w:rFonts w:hint="eastAsia" w:ascii="仿宋" w:hAnsi="仿宋" w:eastAsia="仿宋" w:cs="新宋体"/>
                <w:color w:val="auto"/>
                <w:sz w:val="22"/>
                <w:szCs w:val="22"/>
                <w:highlight w:val="none"/>
                <w:lang w:eastAsia="zh-CN"/>
              </w:rPr>
              <w:t>系统</w:t>
            </w:r>
            <w:r>
              <w:rPr>
                <w:rFonts w:hint="eastAsia" w:ascii="仿宋" w:hAnsi="仿宋" w:eastAsia="仿宋" w:cs="新宋体"/>
                <w:color w:val="auto"/>
                <w:sz w:val="22"/>
                <w:szCs w:val="22"/>
                <w:highlight w:val="none"/>
              </w:rPr>
              <w:t>软件获得中华人民共和国国家版权局计算机软件著作权登记证书的，得3分。提供复印件。</w:t>
            </w:r>
          </w:p>
          <w:p>
            <w:pPr>
              <w:spacing w:line="300" w:lineRule="exact"/>
              <w:rPr>
                <w:rStyle w:val="28"/>
                <w:rFonts w:hint="default" w:ascii="仿宋" w:hAnsi="仿宋" w:eastAsia="仿宋"/>
                <w:color w:val="auto"/>
                <w:highlight w:val="none"/>
                <w:lang w:bidi="ar"/>
              </w:rPr>
            </w:pPr>
            <w:r>
              <w:rPr>
                <w:rStyle w:val="28"/>
                <w:rFonts w:hint="default" w:ascii="仿宋" w:hAnsi="仿宋" w:eastAsia="仿宋"/>
                <w:color w:val="auto"/>
                <w:highlight w:val="none"/>
                <w:lang w:bidi="ar"/>
              </w:rPr>
              <w:t>2.</w:t>
            </w:r>
            <w:r>
              <w:rPr>
                <w:rFonts w:hint="eastAsia" w:ascii="仿宋" w:hAnsi="仿宋" w:eastAsia="仿宋" w:cs="新宋体"/>
                <w:color w:val="auto"/>
                <w:sz w:val="22"/>
                <w:szCs w:val="22"/>
                <w:highlight w:val="none"/>
              </w:rPr>
              <w:t>所投</w:t>
            </w:r>
            <w:r>
              <w:rPr>
                <w:rStyle w:val="28"/>
                <w:rFonts w:hint="default" w:ascii="仿宋" w:hAnsi="仿宋" w:eastAsia="仿宋"/>
                <w:color w:val="auto"/>
                <w:highlight w:val="none"/>
                <w:lang w:bidi="ar"/>
              </w:rPr>
              <w:t>车牌识别软件获得中华人民共和国国家版权局计算机软件著作权登记证书</w:t>
            </w:r>
            <w:r>
              <w:rPr>
                <w:rFonts w:hint="eastAsia" w:ascii="仿宋" w:hAnsi="仿宋" w:eastAsia="仿宋" w:cs="新宋体"/>
                <w:color w:val="auto"/>
                <w:sz w:val="22"/>
                <w:szCs w:val="22"/>
                <w:highlight w:val="none"/>
              </w:rPr>
              <w:t>的，得2分。</w:t>
            </w:r>
          </w:p>
          <w:p>
            <w:pPr>
              <w:spacing w:line="300" w:lineRule="exact"/>
              <w:rPr>
                <w:rFonts w:ascii="仿宋" w:hAnsi="仿宋" w:eastAsia="仿宋"/>
                <w:color w:val="auto"/>
                <w:highlight w:val="none"/>
              </w:rPr>
            </w:pPr>
            <w:r>
              <w:rPr>
                <w:rStyle w:val="28"/>
                <w:rFonts w:hint="default" w:ascii="仿宋" w:hAnsi="仿宋" w:eastAsia="仿宋"/>
                <w:color w:val="auto"/>
                <w:highlight w:val="none"/>
                <w:lang w:bidi="ar"/>
              </w:rPr>
              <w:t>（</w:t>
            </w:r>
            <w:r>
              <w:rPr>
                <w:rStyle w:val="28"/>
                <w:rFonts w:hint="default" w:ascii="仿宋" w:hAnsi="仿宋" w:eastAsia="仿宋"/>
                <w:b/>
                <w:color w:val="auto"/>
                <w:highlight w:val="none"/>
                <w:lang w:bidi="ar"/>
              </w:rPr>
              <w:t>需提供上述证书复印件并加盖公章，否则不得分</w:t>
            </w:r>
            <w:r>
              <w:rPr>
                <w:rStyle w:val="28"/>
                <w:rFonts w:hint="default" w:ascii="仿宋" w:hAnsi="仿宋" w:eastAsia="仿宋"/>
                <w:color w:val="auto"/>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91"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w:t>
            </w:r>
          </w:p>
        </w:tc>
        <w:tc>
          <w:tcPr>
            <w:tcW w:w="1855" w:type="dxa"/>
            <w:vAlign w:val="center"/>
          </w:tcPr>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主要设备技术 参数的响应程度</w:t>
            </w:r>
          </w:p>
        </w:tc>
        <w:tc>
          <w:tcPr>
            <w:tcW w:w="726"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35</w:t>
            </w:r>
          </w:p>
        </w:tc>
        <w:tc>
          <w:tcPr>
            <w:tcW w:w="5279" w:type="dxa"/>
          </w:tcPr>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完全满足技术参数要求得35分。</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▲条款每负偏离一项扣2分，扣完为止。</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其他技术条款负偏离一项扣1分，扣完为止。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546" w:type="dxa"/>
            <w:gridSpan w:val="2"/>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合计</w:t>
            </w:r>
          </w:p>
        </w:tc>
        <w:tc>
          <w:tcPr>
            <w:tcW w:w="6005" w:type="dxa"/>
            <w:gridSpan w:val="2"/>
            <w:vAlign w:val="center"/>
          </w:tcPr>
          <w:p>
            <w:pPr>
              <w:spacing w:line="360" w:lineRule="exact"/>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40分</w:t>
            </w:r>
          </w:p>
        </w:tc>
      </w:tr>
    </w:tbl>
    <w:p>
      <w:pPr>
        <w:pStyle w:val="2"/>
        <w:ind w:firstLine="643"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（二）商务评分标准：（总分：20分）</w:t>
      </w:r>
    </w:p>
    <w:tbl>
      <w:tblPr>
        <w:tblStyle w:val="17"/>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815"/>
        <w:gridCol w:w="675"/>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91" w:type="dxa"/>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序号</w:t>
            </w:r>
          </w:p>
        </w:tc>
        <w:tc>
          <w:tcPr>
            <w:tcW w:w="1815" w:type="dxa"/>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评审项目</w:t>
            </w:r>
          </w:p>
        </w:tc>
        <w:tc>
          <w:tcPr>
            <w:tcW w:w="675" w:type="dxa"/>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分值</w:t>
            </w:r>
          </w:p>
        </w:tc>
        <w:tc>
          <w:tcPr>
            <w:tcW w:w="5358" w:type="dxa"/>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w:t>
            </w:r>
          </w:p>
        </w:tc>
        <w:tc>
          <w:tcPr>
            <w:tcW w:w="1815"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投标人商务   响应程度</w:t>
            </w:r>
          </w:p>
        </w:tc>
        <w:tc>
          <w:tcPr>
            <w:tcW w:w="675" w:type="dxa"/>
            <w:vAlign w:val="center"/>
          </w:tcPr>
          <w:p>
            <w:pPr>
              <w:spacing w:line="360" w:lineRule="exact"/>
              <w:jc w:val="center"/>
              <w:rPr>
                <w:rFonts w:ascii="仿宋" w:hAnsi="仿宋" w:eastAsia="仿宋" w:cs="新宋体"/>
                <w:color w:val="auto"/>
                <w:sz w:val="22"/>
                <w:szCs w:val="22"/>
                <w:highlight w:val="none"/>
              </w:rPr>
            </w:pPr>
            <w:r>
              <w:rPr>
                <w:rFonts w:ascii="仿宋" w:hAnsi="仿宋" w:eastAsia="仿宋" w:cs="新宋体"/>
                <w:color w:val="auto"/>
                <w:sz w:val="22"/>
                <w:szCs w:val="22"/>
                <w:highlight w:val="none"/>
              </w:rPr>
              <w:t>9</w:t>
            </w:r>
          </w:p>
        </w:tc>
        <w:tc>
          <w:tcPr>
            <w:tcW w:w="5358" w:type="dxa"/>
          </w:tcPr>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完全满足招标文件商务要求的得9分，每有一项不满足扣一分，扣完为止。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91" w:type="dxa"/>
            <w:vAlign w:val="center"/>
          </w:tcPr>
          <w:p>
            <w:pPr>
              <w:spacing w:line="360" w:lineRule="exact"/>
              <w:jc w:val="center"/>
              <w:rPr>
                <w:rFonts w:ascii="仿宋" w:hAnsi="仿宋" w:eastAsia="仿宋" w:cs="新宋体"/>
                <w:color w:val="auto"/>
                <w:sz w:val="22"/>
                <w:szCs w:val="22"/>
                <w:highlight w:val="none"/>
              </w:rPr>
            </w:pPr>
            <w:r>
              <w:rPr>
                <w:rFonts w:ascii="仿宋" w:hAnsi="仿宋" w:eastAsia="仿宋" w:cs="新宋体"/>
                <w:color w:val="auto"/>
                <w:sz w:val="22"/>
                <w:szCs w:val="22"/>
                <w:highlight w:val="none"/>
              </w:rPr>
              <w:t>2</w:t>
            </w:r>
          </w:p>
        </w:tc>
        <w:tc>
          <w:tcPr>
            <w:tcW w:w="1815"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宋体"/>
                <w:color w:val="auto"/>
                <w:sz w:val="22"/>
                <w:szCs w:val="22"/>
                <w:highlight w:val="none"/>
              </w:rPr>
              <w:t>投标人资质</w:t>
            </w:r>
          </w:p>
        </w:tc>
        <w:tc>
          <w:tcPr>
            <w:tcW w:w="675"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3</w:t>
            </w:r>
          </w:p>
        </w:tc>
        <w:tc>
          <w:tcPr>
            <w:tcW w:w="5358" w:type="dxa"/>
          </w:tcPr>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1.投标人具有ISO9001质量管理体系认证证书且在有效期内；</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2.投标人具有ISO14001环境管理体系认证证书且在有效期内；</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3.投标人具有OHSAS18001职业健康安全管理体系认证证书且在有效期内；</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（以上证书需提供复印件加盖公章，3项同时满足得3分，缺一项不得分）。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vMerge w:val="restart"/>
            <w:vAlign w:val="center"/>
          </w:tcPr>
          <w:p>
            <w:pPr>
              <w:spacing w:line="360" w:lineRule="exact"/>
              <w:jc w:val="center"/>
              <w:rPr>
                <w:rFonts w:ascii="仿宋" w:hAnsi="仿宋" w:eastAsia="仿宋" w:cs="新宋体"/>
                <w:color w:val="auto"/>
                <w:sz w:val="22"/>
                <w:szCs w:val="22"/>
                <w:highlight w:val="none"/>
              </w:rPr>
            </w:pPr>
            <w:r>
              <w:rPr>
                <w:rFonts w:ascii="仿宋" w:hAnsi="仿宋" w:eastAsia="仿宋" w:cs="新宋体"/>
                <w:color w:val="auto"/>
                <w:sz w:val="22"/>
                <w:szCs w:val="22"/>
                <w:highlight w:val="none"/>
              </w:rPr>
              <w:t>3</w:t>
            </w:r>
          </w:p>
        </w:tc>
        <w:tc>
          <w:tcPr>
            <w:tcW w:w="1815" w:type="dxa"/>
            <w:vMerge w:val="restart"/>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投标人拟投入本项目技术力量</w:t>
            </w:r>
          </w:p>
        </w:tc>
        <w:tc>
          <w:tcPr>
            <w:tcW w:w="675" w:type="dxa"/>
            <w:vAlign w:val="center"/>
          </w:tcPr>
          <w:p>
            <w:pPr>
              <w:spacing w:line="360" w:lineRule="exact"/>
              <w:jc w:val="center"/>
              <w:rPr>
                <w:rFonts w:ascii="仿宋" w:hAnsi="仿宋" w:eastAsia="仿宋" w:cs="新宋体"/>
                <w:color w:val="auto"/>
                <w:sz w:val="22"/>
                <w:szCs w:val="22"/>
                <w:highlight w:val="none"/>
              </w:rPr>
            </w:pPr>
            <w:r>
              <w:rPr>
                <w:rFonts w:ascii="仿宋" w:hAnsi="仿宋" w:eastAsia="仿宋" w:cs="新宋体"/>
                <w:color w:val="auto"/>
                <w:sz w:val="22"/>
                <w:szCs w:val="22"/>
                <w:highlight w:val="none"/>
              </w:rPr>
              <w:t>1</w:t>
            </w:r>
          </w:p>
        </w:tc>
        <w:tc>
          <w:tcPr>
            <w:tcW w:w="5358" w:type="dxa"/>
          </w:tcPr>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项目负责人：</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根据各投标人拟派项目负责人具有人力资源和社会保障局或人事厅或城乡建设部门颁发的机电专业或电气专业或网络专业中级工程师职称以上的得</w:t>
            </w:r>
            <w:r>
              <w:rPr>
                <w:rFonts w:ascii="仿宋" w:hAnsi="仿宋" w:eastAsia="仿宋" w:cs="新宋体"/>
                <w:color w:val="auto"/>
                <w:sz w:val="22"/>
                <w:szCs w:val="22"/>
                <w:highlight w:val="none"/>
              </w:rPr>
              <w:t>1</w:t>
            </w:r>
            <w:r>
              <w:rPr>
                <w:rFonts w:hint="eastAsia" w:ascii="仿宋" w:hAnsi="仿宋" w:eastAsia="仿宋" w:cs="新宋体"/>
                <w:color w:val="auto"/>
                <w:sz w:val="22"/>
                <w:szCs w:val="22"/>
                <w:highlight w:val="none"/>
              </w:rPr>
              <w:t>分。</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（提供人员有关证书复印件及社保证明复印件）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vMerge w:val="continue"/>
            <w:vAlign w:val="center"/>
          </w:tcPr>
          <w:p>
            <w:pPr>
              <w:spacing w:line="360" w:lineRule="exact"/>
              <w:jc w:val="center"/>
              <w:rPr>
                <w:rFonts w:ascii="仿宋" w:hAnsi="仿宋" w:eastAsia="仿宋" w:cs="新宋体"/>
                <w:color w:val="auto"/>
                <w:sz w:val="22"/>
                <w:szCs w:val="22"/>
                <w:highlight w:val="none"/>
              </w:rPr>
            </w:pPr>
          </w:p>
        </w:tc>
        <w:tc>
          <w:tcPr>
            <w:tcW w:w="1815" w:type="dxa"/>
            <w:vMerge w:val="continue"/>
            <w:vAlign w:val="center"/>
          </w:tcPr>
          <w:p>
            <w:pPr>
              <w:spacing w:line="360" w:lineRule="exact"/>
              <w:jc w:val="center"/>
              <w:rPr>
                <w:rFonts w:ascii="仿宋" w:hAnsi="仿宋" w:eastAsia="仿宋" w:cs="新宋体"/>
                <w:color w:val="auto"/>
                <w:sz w:val="22"/>
                <w:szCs w:val="22"/>
                <w:highlight w:val="none"/>
              </w:rPr>
            </w:pPr>
          </w:p>
        </w:tc>
        <w:tc>
          <w:tcPr>
            <w:tcW w:w="675" w:type="dxa"/>
            <w:vAlign w:val="center"/>
          </w:tcPr>
          <w:p>
            <w:pPr>
              <w:spacing w:line="360" w:lineRule="exact"/>
              <w:jc w:val="center"/>
              <w:rPr>
                <w:rFonts w:ascii="仿宋" w:hAnsi="仿宋" w:eastAsia="仿宋" w:cs="新宋体"/>
                <w:color w:val="auto"/>
                <w:sz w:val="22"/>
                <w:szCs w:val="22"/>
                <w:highlight w:val="none"/>
              </w:rPr>
            </w:pPr>
            <w:r>
              <w:rPr>
                <w:rFonts w:ascii="仿宋" w:hAnsi="仿宋" w:eastAsia="仿宋" w:cs="新宋体"/>
                <w:color w:val="auto"/>
                <w:sz w:val="22"/>
                <w:szCs w:val="22"/>
                <w:highlight w:val="none"/>
              </w:rPr>
              <w:t>2</w:t>
            </w:r>
          </w:p>
        </w:tc>
        <w:tc>
          <w:tcPr>
            <w:tcW w:w="5358" w:type="dxa"/>
          </w:tcPr>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项目技术团队：</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根据各投标人拟派项目团队情况进行评审打分，满足项目建设需求，提供持有人力资源和社会保障局或人事厅或城乡建设部门颁发的初级工程师（或以上）职称的，提供一个得1分，满分</w:t>
            </w:r>
            <w:r>
              <w:rPr>
                <w:rFonts w:ascii="仿宋" w:hAnsi="仿宋" w:eastAsia="仿宋" w:cs="新宋体"/>
                <w:color w:val="auto"/>
                <w:sz w:val="22"/>
                <w:szCs w:val="22"/>
                <w:highlight w:val="none"/>
              </w:rPr>
              <w:t>2</w:t>
            </w:r>
            <w:r>
              <w:rPr>
                <w:rFonts w:hint="eastAsia" w:ascii="仿宋" w:hAnsi="仿宋" w:eastAsia="仿宋" w:cs="新宋体"/>
                <w:color w:val="auto"/>
                <w:sz w:val="22"/>
                <w:szCs w:val="22"/>
                <w:highlight w:val="none"/>
              </w:rPr>
              <w:t>分。</w:t>
            </w:r>
          </w:p>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（本项不包含项目负责人，须提供人员有关证书复印件、身份证及劳动合同复印件）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vAlign w:val="center"/>
          </w:tcPr>
          <w:p>
            <w:pPr>
              <w:spacing w:line="360" w:lineRule="exact"/>
              <w:jc w:val="center"/>
              <w:rPr>
                <w:rFonts w:ascii="仿宋" w:hAnsi="仿宋" w:eastAsia="仿宋" w:cs="新宋体"/>
                <w:color w:val="auto"/>
                <w:sz w:val="22"/>
                <w:szCs w:val="22"/>
                <w:highlight w:val="none"/>
              </w:rPr>
            </w:pPr>
            <w:r>
              <w:rPr>
                <w:rFonts w:ascii="仿宋" w:hAnsi="仿宋" w:eastAsia="仿宋" w:cs="新宋体"/>
                <w:color w:val="auto"/>
                <w:sz w:val="22"/>
                <w:szCs w:val="22"/>
                <w:highlight w:val="none"/>
              </w:rPr>
              <w:t>4</w:t>
            </w:r>
          </w:p>
        </w:tc>
        <w:tc>
          <w:tcPr>
            <w:tcW w:w="1815" w:type="dxa"/>
            <w:vAlign w:val="center"/>
          </w:tcPr>
          <w:p>
            <w:pPr>
              <w:spacing w:line="360" w:lineRule="exact"/>
              <w:jc w:val="center"/>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投标人业绩</w:t>
            </w:r>
          </w:p>
        </w:tc>
        <w:tc>
          <w:tcPr>
            <w:tcW w:w="675" w:type="dxa"/>
            <w:vAlign w:val="center"/>
          </w:tcPr>
          <w:p>
            <w:pPr>
              <w:spacing w:line="360" w:lineRule="exact"/>
              <w:jc w:val="center"/>
              <w:rPr>
                <w:rFonts w:ascii="仿宋" w:hAnsi="仿宋" w:eastAsia="仿宋" w:cs="新宋体"/>
                <w:color w:val="auto"/>
                <w:sz w:val="22"/>
                <w:szCs w:val="22"/>
                <w:highlight w:val="none"/>
              </w:rPr>
            </w:pPr>
            <w:r>
              <w:rPr>
                <w:rFonts w:ascii="仿宋" w:hAnsi="仿宋" w:eastAsia="仿宋" w:cs="新宋体"/>
                <w:color w:val="auto"/>
                <w:sz w:val="22"/>
                <w:szCs w:val="22"/>
                <w:highlight w:val="none"/>
              </w:rPr>
              <w:t>5</w:t>
            </w:r>
          </w:p>
        </w:tc>
        <w:tc>
          <w:tcPr>
            <w:tcW w:w="5358" w:type="dxa"/>
          </w:tcPr>
          <w:p>
            <w:pPr>
              <w:spacing w:line="300" w:lineRule="exact"/>
              <w:rPr>
                <w:rFonts w:ascii="仿宋" w:hAnsi="仿宋" w:eastAsia="仿宋" w:cs="新宋体"/>
                <w:color w:val="auto"/>
                <w:sz w:val="22"/>
                <w:szCs w:val="22"/>
                <w:highlight w:val="none"/>
              </w:rPr>
            </w:pPr>
            <w:r>
              <w:rPr>
                <w:rFonts w:hint="eastAsia" w:ascii="仿宋" w:hAnsi="仿宋" w:eastAsia="仿宋" w:cs="新宋体"/>
                <w:color w:val="auto"/>
                <w:sz w:val="22"/>
                <w:szCs w:val="22"/>
                <w:highlight w:val="none"/>
              </w:rPr>
              <w:t>提供2017年1月1日至投标截止日，与该项目有关的系统或设备的业绩，每提供1份得</w:t>
            </w:r>
            <w:r>
              <w:rPr>
                <w:rFonts w:ascii="仿宋" w:hAnsi="仿宋" w:eastAsia="仿宋" w:cs="新宋体"/>
                <w:color w:val="auto"/>
                <w:sz w:val="22"/>
                <w:szCs w:val="22"/>
                <w:highlight w:val="none"/>
              </w:rPr>
              <w:t>1</w:t>
            </w:r>
            <w:r>
              <w:rPr>
                <w:rFonts w:hint="eastAsia" w:ascii="仿宋" w:hAnsi="仿宋" w:eastAsia="仿宋" w:cs="新宋体"/>
                <w:color w:val="auto"/>
                <w:sz w:val="22"/>
                <w:szCs w:val="22"/>
                <w:highlight w:val="none"/>
              </w:rPr>
              <w:t>分，最高得</w:t>
            </w:r>
            <w:r>
              <w:rPr>
                <w:rFonts w:ascii="仿宋" w:hAnsi="仿宋" w:eastAsia="仿宋" w:cs="新宋体"/>
                <w:color w:val="auto"/>
                <w:sz w:val="22"/>
                <w:szCs w:val="22"/>
                <w:highlight w:val="none"/>
              </w:rPr>
              <w:t>5</w:t>
            </w:r>
            <w:r>
              <w:rPr>
                <w:rFonts w:hint="eastAsia" w:ascii="仿宋" w:hAnsi="仿宋" w:eastAsia="仿宋" w:cs="新宋体"/>
                <w:color w:val="auto"/>
                <w:sz w:val="22"/>
                <w:szCs w:val="22"/>
                <w:highlight w:val="none"/>
              </w:rPr>
              <w:t>分。（附中标通知书及合同关键页）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06" w:type="dxa"/>
            <w:gridSpan w:val="2"/>
            <w:vAlign w:val="center"/>
          </w:tcPr>
          <w:p>
            <w:pPr>
              <w:spacing w:line="360" w:lineRule="exact"/>
              <w:jc w:val="center"/>
              <w:rPr>
                <w:rFonts w:ascii="仿宋" w:hAnsi="仿宋" w:eastAsia="仿宋" w:cs="新宋体"/>
                <w:b/>
                <w:bCs/>
                <w:color w:val="auto"/>
                <w:sz w:val="22"/>
                <w:szCs w:val="22"/>
                <w:highlight w:val="none"/>
              </w:rPr>
            </w:pPr>
            <w:r>
              <w:rPr>
                <w:rFonts w:hint="eastAsia" w:ascii="仿宋" w:hAnsi="仿宋" w:eastAsia="仿宋" w:cs="新宋体"/>
                <w:b/>
                <w:bCs/>
                <w:color w:val="auto"/>
                <w:sz w:val="22"/>
                <w:szCs w:val="22"/>
                <w:highlight w:val="none"/>
              </w:rPr>
              <w:t>合计</w:t>
            </w:r>
          </w:p>
        </w:tc>
        <w:tc>
          <w:tcPr>
            <w:tcW w:w="6033" w:type="dxa"/>
            <w:gridSpan w:val="2"/>
            <w:vAlign w:val="center"/>
          </w:tcPr>
          <w:p>
            <w:pPr>
              <w:spacing w:line="360" w:lineRule="exact"/>
              <w:jc w:val="center"/>
              <w:rPr>
                <w:rFonts w:ascii="仿宋" w:hAnsi="仿宋" w:eastAsia="仿宋" w:cs="新宋体"/>
                <w:b/>
                <w:bCs/>
                <w:color w:val="auto"/>
                <w:sz w:val="22"/>
                <w:szCs w:val="22"/>
                <w:highlight w:val="none"/>
              </w:rPr>
            </w:pPr>
            <w:r>
              <w:rPr>
                <w:rFonts w:ascii="仿宋" w:hAnsi="仿宋" w:eastAsia="仿宋" w:cs="新宋体"/>
                <w:b/>
                <w:bCs/>
                <w:color w:val="auto"/>
                <w:sz w:val="22"/>
                <w:szCs w:val="22"/>
                <w:highlight w:val="none"/>
              </w:rPr>
              <w:t>2</w:t>
            </w:r>
            <w:r>
              <w:rPr>
                <w:rFonts w:hint="eastAsia" w:ascii="仿宋" w:hAnsi="仿宋" w:eastAsia="仿宋" w:cs="新宋体"/>
                <w:b/>
                <w:bCs/>
                <w:color w:val="auto"/>
                <w:sz w:val="22"/>
                <w:szCs w:val="22"/>
                <w:highlight w:val="none"/>
              </w:rPr>
              <w:t>0分</w:t>
            </w:r>
          </w:p>
        </w:tc>
      </w:tr>
    </w:tbl>
    <w:p>
      <w:pPr>
        <w:pStyle w:val="2"/>
        <w:ind w:firstLine="643" w:firstLineChars="200"/>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（三</w:t>
      </w:r>
      <w:r>
        <w:rPr>
          <w:rFonts w:ascii="仿宋" w:hAnsi="仿宋" w:eastAsia="仿宋"/>
          <w:b/>
          <w:bCs/>
          <w:color w:val="auto"/>
          <w:sz w:val="32"/>
          <w:szCs w:val="32"/>
          <w:highlight w:val="none"/>
        </w:rPr>
        <w:t>）</w:t>
      </w:r>
      <w:r>
        <w:rPr>
          <w:rFonts w:hint="eastAsia" w:ascii="仿宋" w:hAnsi="仿宋" w:eastAsia="仿宋"/>
          <w:b/>
          <w:bCs/>
          <w:color w:val="auto"/>
          <w:sz w:val="32"/>
          <w:szCs w:val="32"/>
          <w:highlight w:val="none"/>
        </w:rPr>
        <w:t>价格</w:t>
      </w:r>
      <w:r>
        <w:rPr>
          <w:rFonts w:ascii="仿宋" w:hAnsi="仿宋" w:eastAsia="仿宋"/>
          <w:b/>
          <w:bCs/>
          <w:color w:val="auto"/>
          <w:sz w:val="32"/>
          <w:szCs w:val="32"/>
          <w:highlight w:val="none"/>
        </w:rPr>
        <w:t>评分标准：（</w:t>
      </w:r>
      <w:r>
        <w:rPr>
          <w:rFonts w:hint="eastAsia" w:ascii="仿宋" w:hAnsi="仿宋" w:eastAsia="仿宋"/>
          <w:b/>
          <w:bCs/>
          <w:color w:val="auto"/>
          <w:sz w:val="32"/>
          <w:szCs w:val="32"/>
          <w:highlight w:val="none"/>
        </w:rPr>
        <w:t>总分</w:t>
      </w:r>
      <w:r>
        <w:rPr>
          <w:rFonts w:ascii="仿宋" w:hAnsi="仿宋" w:eastAsia="仿宋"/>
          <w:b/>
          <w:bCs/>
          <w:color w:val="auto"/>
          <w:sz w:val="32"/>
          <w:szCs w:val="32"/>
          <w:highlight w:val="none"/>
        </w:rPr>
        <w:t>40分）</w:t>
      </w:r>
    </w:p>
    <w:p>
      <w:pPr>
        <w:adjustRightInd w:val="0"/>
        <w:snapToGrid w:val="0"/>
        <w:spacing w:line="560" w:lineRule="exact"/>
        <w:ind w:firstLine="640" w:firstLineChars="200"/>
        <w:rPr>
          <w:rFonts w:ascii="仿宋" w:hAnsi="仿宋" w:eastAsia="仿宋" w:cs="宋体"/>
          <w:color w:val="auto"/>
          <w:sz w:val="32"/>
          <w:szCs w:val="32"/>
          <w:highlight w:val="none"/>
        </w:rPr>
      </w:pPr>
      <w:r>
        <w:rPr>
          <w:rFonts w:ascii="仿宋" w:hAnsi="仿宋" w:eastAsia="仿宋" w:cs="宋体"/>
          <w:color w:val="auto"/>
          <w:sz w:val="32"/>
          <w:szCs w:val="32"/>
          <w:highlight w:val="none"/>
        </w:rPr>
        <w:t>评审得分：评分统一采用低价优先法进行计算，即满足采购文件要求且价格最低的报价为基准价，其得分为满分，其他供应商的得分统一按下列公式计算（保留两位小数）。评审得分=（评审基准价/各供应商报价）×40</w:t>
      </w:r>
      <w:r>
        <w:rPr>
          <w:rFonts w:hint="eastAsia" w:ascii="仿宋" w:hAnsi="仿宋" w:eastAsia="仿宋" w:cs="宋体"/>
          <w:color w:val="auto"/>
          <w:sz w:val="32"/>
          <w:szCs w:val="32"/>
          <w:highlight w:val="none"/>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- 10 -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DCBE6B"/>
    <w:multiLevelType w:val="multilevel"/>
    <w:tmpl w:val="8FDCBE6B"/>
    <w:lvl w:ilvl="0" w:tentative="0">
      <w:start w:val="1"/>
      <w:numFmt w:val="japaneseCounting"/>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F7934"/>
    <w:rsid w:val="00004388"/>
    <w:rsid w:val="0003005E"/>
    <w:rsid w:val="000417D2"/>
    <w:rsid w:val="00043A98"/>
    <w:rsid w:val="00070DFD"/>
    <w:rsid w:val="000776FE"/>
    <w:rsid w:val="000C4228"/>
    <w:rsid w:val="000C5E3A"/>
    <w:rsid w:val="001074DA"/>
    <w:rsid w:val="0012644A"/>
    <w:rsid w:val="0015016E"/>
    <w:rsid w:val="001603D5"/>
    <w:rsid w:val="0017354D"/>
    <w:rsid w:val="00186BFB"/>
    <w:rsid w:val="00187DCD"/>
    <w:rsid w:val="001B658B"/>
    <w:rsid w:val="001C1390"/>
    <w:rsid w:val="001C4024"/>
    <w:rsid w:val="001C59AD"/>
    <w:rsid w:val="001D442F"/>
    <w:rsid w:val="00202F09"/>
    <w:rsid w:val="00214866"/>
    <w:rsid w:val="0021699F"/>
    <w:rsid w:val="002515BE"/>
    <w:rsid w:val="00272652"/>
    <w:rsid w:val="00274CC6"/>
    <w:rsid w:val="00275E78"/>
    <w:rsid w:val="00292324"/>
    <w:rsid w:val="00294B3A"/>
    <w:rsid w:val="002A6F59"/>
    <w:rsid w:val="002A7B85"/>
    <w:rsid w:val="002B58B1"/>
    <w:rsid w:val="00301FF8"/>
    <w:rsid w:val="0030399F"/>
    <w:rsid w:val="00353631"/>
    <w:rsid w:val="00360A9B"/>
    <w:rsid w:val="003B7B15"/>
    <w:rsid w:val="003F6100"/>
    <w:rsid w:val="00416F13"/>
    <w:rsid w:val="004416D7"/>
    <w:rsid w:val="004464EC"/>
    <w:rsid w:val="00454F8A"/>
    <w:rsid w:val="00460F00"/>
    <w:rsid w:val="00466821"/>
    <w:rsid w:val="00490604"/>
    <w:rsid w:val="0049314C"/>
    <w:rsid w:val="0051737B"/>
    <w:rsid w:val="005614E7"/>
    <w:rsid w:val="005642DB"/>
    <w:rsid w:val="00570310"/>
    <w:rsid w:val="00574DA6"/>
    <w:rsid w:val="005819C6"/>
    <w:rsid w:val="00593E7E"/>
    <w:rsid w:val="005B3DCD"/>
    <w:rsid w:val="005C5515"/>
    <w:rsid w:val="00607AA7"/>
    <w:rsid w:val="00616BBA"/>
    <w:rsid w:val="00617E93"/>
    <w:rsid w:val="00634119"/>
    <w:rsid w:val="006444B2"/>
    <w:rsid w:val="0066293C"/>
    <w:rsid w:val="006E4AD3"/>
    <w:rsid w:val="006F3E8F"/>
    <w:rsid w:val="006F734E"/>
    <w:rsid w:val="00711F43"/>
    <w:rsid w:val="00753823"/>
    <w:rsid w:val="00753859"/>
    <w:rsid w:val="00797039"/>
    <w:rsid w:val="007A0295"/>
    <w:rsid w:val="007A6830"/>
    <w:rsid w:val="00807CE3"/>
    <w:rsid w:val="00826776"/>
    <w:rsid w:val="008477BD"/>
    <w:rsid w:val="00850788"/>
    <w:rsid w:val="00850E62"/>
    <w:rsid w:val="00886524"/>
    <w:rsid w:val="00891921"/>
    <w:rsid w:val="008A1C39"/>
    <w:rsid w:val="008B6C31"/>
    <w:rsid w:val="00906C14"/>
    <w:rsid w:val="00915170"/>
    <w:rsid w:val="009153ED"/>
    <w:rsid w:val="00926DFD"/>
    <w:rsid w:val="0094582D"/>
    <w:rsid w:val="00997409"/>
    <w:rsid w:val="009A0F82"/>
    <w:rsid w:val="009C7AD8"/>
    <w:rsid w:val="009D390F"/>
    <w:rsid w:val="009F62B1"/>
    <w:rsid w:val="009F6A68"/>
    <w:rsid w:val="00A70D73"/>
    <w:rsid w:val="00A90D7B"/>
    <w:rsid w:val="00AA0A7A"/>
    <w:rsid w:val="00AD1119"/>
    <w:rsid w:val="00AD7BE8"/>
    <w:rsid w:val="00AF410F"/>
    <w:rsid w:val="00AF7C68"/>
    <w:rsid w:val="00B10B1F"/>
    <w:rsid w:val="00B34B16"/>
    <w:rsid w:val="00B77B35"/>
    <w:rsid w:val="00B86B78"/>
    <w:rsid w:val="00B90720"/>
    <w:rsid w:val="00B97C5B"/>
    <w:rsid w:val="00BA567C"/>
    <w:rsid w:val="00BB5CCB"/>
    <w:rsid w:val="00BF4327"/>
    <w:rsid w:val="00C14E7A"/>
    <w:rsid w:val="00C163E1"/>
    <w:rsid w:val="00C26384"/>
    <w:rsid w:val="00C41A8F"/>
    <w:rsid w:val="00C77349"/>
    <w:rsid w:val="00C90D3C"/>
    <w:rsid w:val="00CB713A"/>
    <w:rsid w:val="00CC1157"/>
    <w:rsid w:val="00CC2812"/>
    <w:rsid w:val="00CD3B43"/>
    <w:rsid w:val="00CD4FB8"/>
    <w:rsid w:val="00CE6A92"/>
    <w:rsid w:val="00CF45E1"/>
    <w:rsid w:val="00CF778A"/>
    <w:rsid w:val="00D13015"/>
    <w:rsid w:val="00D173A4"/>
    <w:rsid w:val="00D33499"/>
    <w:rsid w:val="00D36425"/>
    <w:rsid w:val="00D45A30"/>
    <w:rsid w:val="00D52802"/>
    <w:rsid w:val="00D87A5C"/>
    <w:rsid w:val="00D90920"/>
    <w:rsid w:val="00DA3D1D"/>
    <w:rsid w:val="00DC0241"/>
    <w:rsid w:val="00DF0929"/>
    <w:rsid w:val="00E340F3"/>
    <w:rsid w:val="00E63912"/>
    <w:rsid w:val="00E73819"/>
    <w:rsid w:val="00E74E4E"/>
    <w:rsid w:val="00E767AC"/>
    <w:rsid w:val="00E96072"/>
    <w:rsid w:val="00F22728"/>
    <w:rsid w:val="00F37A2E"/>
    <w:rsid w:val="00F477B0"/>
    <w:rsid w:val="00F64DDB"/>
    <w:rsid w:val="00F758A5"/>
    <w:rsid w:val="00F906DB"/>
    <w:rsid w:val="00FA4309"/>
    <w:rsid w:val="00FB1E1A"/>
    <w:rsid w:val="00FB32F7"/>
    <w:rsid w:val="00FE3476"/>
    <w:rsid w:val="00FE7720"/>
    <w:rsid w:val="01FA3192"/>
    <w:rsid w:val="021A6EF3"/>
    <w:rsid w:val="03D71CBC"/>
    <w:rsid w:val="03DC4EA4"/>
    <w:rsid w:val="04312EA6"/>
    <w:rsid w:val="064925B4"/>
    <w:rsid w:val="0A176961"/>
    <w:rsid w:val="0B95074E"/>
    <w:rsid w:val="0D685335"/>
    <w:rsid w:val="12E22C7E"/>
    <w:rsid w:val="13A76D8D"/>
    <w:rsid w:val="15365487"/>
    <w:rsid w:val="17BC5FA0"/>
    <w:rsid w:val="1D655046"/>
    <w:rsid w:val="1EF26047"/>
    <w:rsid w:val="1F0246D8"/>
    <w:rsid w:val="2B1778D3"/>
    <w:rsid w:val="2B2D3258"/>
    <w:rsid w:val="2B3C23E5"/>
    <w:rsid w:val="2B885567"/>
    <w:rsid w:val="2CEC51A2"/>
    <w:rsid w:val="2CEF3331"/>
    <w:rsid w:val="2E1B69F2"/>
    <w:rsid w:val="2F0A71E0"/>
    <w:rsid w:val="2F8567E8"/>
    <w:rsid w:val="324B2E97"/>
    <w:rsid w:val="32EA393A"/>
    <w:rsid w:val="3CB54270"/>
    <w:rsid w:val="3D4C5FD4"/>
    <w:rsid w:val="3E1E0609"/>
    <w:rsid w:val="3E3127B8"/>
    <w:rsid w:val="3F166423"/>
    <w:rsid w:val="3F770693"/>
    <w:rsid w:val="45192267"/>
    <w:rsid w:val="4E7E71E9"/>
    <w:rsid w:val="4ED376BF"/>
    <w:rsid w:val="50FD6250"/>
    <w:rsid w:val="516439D1"/>
    <w:rsid w:val="546465AB"/>
    <w:rsid w:val="546C23E4"/>
    <w:rsid w:val="564066C2"/>
    <w:rsid w:val="56E67306"/>
    <w:rsid w:val="570F7934"/>
    <w:rsid w:val="59CE1533"/>
    <w:rsid w:val="5DB221E6"/>
    <w:rsid w:val="5F907FBB"/>
    <w:rsid w:val="5F9B7340"/>
    <w:rsid w:val="60230F05"/>
    <w:rsid w:val="61097DA8"/>
    <w:rsid w:val="62117421"/>
    <w:rsid w:val="63470FB6"/>
    <w:rsid w:val="658D4BDE"/>
    <w:rsid w:val="65DC41BE"/>
    <w:rsid w:val="6A2E2D96"/>
    <w:rsid w:val="6BAD4B81"/>
    <w:rsid w:val="6DF25391"/>
    <w:rsid w:val="6F7D67C0"/>
    <w:rsid w:val="70635B0D"/>
    <w:rsid w:val="7438056D"/>
    <w:rsid w:val="7A886B79"/>
    <w:rsid w:val="7C547079"/>
    <w:rsid w:val="7C746247"/>
    <w:rsid w:val="7E8E1C87"/>
    <w:rsid w:val="7FDD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pageBreakBefore/>
      <w:spacing w:line="460" w:lineRule="exact"/>
      <w:textAlignment w:val="center"/>
      <w:outlineLvl w:val="0"/>
    </w:pPr>
    <w:rPr>
      <w:b/>
      <w:kern w:val="44"/>
      <w:sz w:val="32"/>
      <w:szCs w:val="20"/>
    </w:rPr>
  </w:style>
  <w:style w:type="paragraph" w:styleId="4">
    <w:name w:val="heading 2"/>
    <w:basedOn w:val="1"/>
    <w:next w:val="1"/>
    <w:link w:val="25"/>
    <w:semiHidden/>
    <w:unhideWhenUsed/>
    <w:qFormat/>
    <w:uiPriority w:val="0"/>
    <w:pPr>
      <w:keepNext/>
      <w:keepLines/>
      <w:numPr>
        <w:ilvl w:val="0"/>
        <w:numId w:val="1"/>
      </w:numPr>
      <w:spacing w:line="500" w:lineRule="exact"/>
      <w:outlineLvl w:val="1"/>
    </w:pPr>
    <w:rPr>
      <w:rFonts w:ascii="Arial" w:hAnsi="Arial" w:eastAsia="新宋体"/>
      <w:b/>
      <w:sz w:val="32"/>
      <w:szCs w:val="20"/>
    </w:rPr>
  </w:style>
  <w:style w:type="paragraph" w:styleId="5">
    <w:name w:val="heading 3"/>
    <w:basedOn w:val="1"/>
    <w:next w:val="1"/>
    <w:link w:val="24"/>
    <w:semiHidden/>
    <w:unhideWhenUsed/>
    <w:qFormat/>
    <w:uiPriority w:val="0"/>
    <w:pPr>
      <w:keepNext/>
      <w:keepLines/>
      <w:tabs>
        <w:tab w:val="left" w:pos="720"/>
      </w:tabs>
      <w:spacing w:before="20" w:after="20" w:line="460" w:lineRule="exact"/>
      <w:ind w:left="720" w:hanging="720"/>
      <w:outlineLvl w:val="2"/>
    </w:pPr>
    <w:rPr>
      <w:rFonts w:ascii="宋体" w:hAnsi="宋体" w:eastAsia="新宋体"/>
      <w:b/>
      <w:bCs/>
      <w:sz w:val="28"/>
      <w:szCs w:val="32"/>
    </w:rPr>
  </w:style>
  <w:style w:type="paragraph" w:styleId="6">
    <w:name w:val="heading 4"/>
    <w:basedOn w:val="1"/>
    <w:next w:val="1"/>
    <w:semiHidden/>
    <w:unhideWhenUsed/>
    <w:qFormat/>
    <w:uiPriority w:val="0"/>
    <w:pPr>
      <w:keepNext/>
      <w:keepLines/>
      <w:spacing w:before="20" w:after="20"/>
      <w:outlineLvl w:val="3"/>
    </w:pPr>
    <w:rPr>
      <w:rFonts w:ascii="Arial" w:hAnsi="Arial"/>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正"/>
    <w:basedOn w:val="1"/>
    <w:qFormat/>
    <w:uiPriority w:val="0"/>
    <w:pPr>
      <w:spacing w:line="560" w:lineRule="exact"/>
      <w:ind w:firstLine="561"/>
    </w:pPr>
    <w:rPr>
      <w:rFonts w:ascii="Calibri" w:hAnsi="Calibri"/>
      <w:sz w:val="28"/>
    </w:rPr>
  </w:style>
  <w:style w:type="paragraph" w:styleId="7">
    <w:name w:val="Normal Indent"/>
    <w:basedOn w:val="1"/>
    <w:qFormat/>
    <w:uiPriority w:val="0"/>
    <w:pPr>
      <w:ind w:firstLine="420" w:firstLineChars="200"/>
    </w:pPr>
  </w:style>
  <w:style w:type="paragraph" w:styleId="8">
    <w:name w:val="annotation text"/>
    <w:basedOn w:val="1"/>
    <w:link w:val="35"/>
    <w:semiHidden/>
    <w:unhideWhenUsed/>
    <w:qFormat/>
    <w:uiPriority w:val="0"/>
    <w:pPr>
      <w:jc w:val="left"/>
    </w:pPr>
  </w:style>
  <w:style w:type="paragraph" w:styleId="9">
    <w:name w:val="Body Text"/>
    <w:basedOn w:val="1"/>
    <w:qFormat/>
    <w:uiPriority w:val="0"/>
    <w:rPr>
      <w:sz w:val="20"/>
      <w:szCs w:val="20"/>
    </w:rPr>
  </w:style>
  <w:style w:type="paragraph" w:styleId="10">
    <w:name w:val="Plain Text"/>
    <w:basedOn w:val="1"/>
    <w:qFormat/>
    <w:uiPriority w:val="0"/>
    <w:rPr>
      <w:rFonts w:ascii="宋体" w:hAnsi="Courier New" w:cs="Tahoma"/>
      <w:szCs w:val="21"/>
    </w:rPr>
  </w:style>
  <w:style w:type="paragraph" w:styleId="11">
    <w:name w:val="Date"/>
    <w:basedOn w:val="1"/>
    <w:next w:val="1"/>
    <w:link w:val="33"/>
    <w:qFormat/>
    <w:uiPriority w:val="0"/>
    <w:pPr>
      <w:ind w:left="100" w:leftChars="2500"/>
    </w:pPr>
  </w:style>
  <w:style w:type="paragraph" w:styleId="12">
    <w:name w:val="Balloon Text"/>
    <w:basedOn w:val="1"/>
    <w:link w:val="34"/>
    <w:semiHidden/>
    <w:unhideWhenUsed/>
    <w:qFormat/>
    <w:uiPriority w:val="0"/>
    <w:rPr>
      <w:sz w:val="18"/>
      <w:szCs w:val="18"/>
    </w:rPr>
  </w:style>
  <w:style w:type="paragraph" w:styleId="13">
    <w:name w:val="foot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left"/>
    </w:pPr>
    <w:rPr>
      <w:rFonts w:ascii="Calibri" w:hAnsi="Calibri"/>
      <w:kern w:val="0"/>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8"/>
    <w:next w:val="8"/>
    <w:link w:val="36"/>
    <w:semiHidden/>
    <w:unhideWhenUsed/>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semiHidden/>
    <w:unhideWhenUsed/>
    <w:qFormat/>
    <w:uiPriority w:val="99"/>
    <w:rPr>
      <w:color w:val="0000FF"/>
      <w:u w:val="single"/>
    </w:rPr>
  </w:style>
  <w:style w:type="character" w:styleId="22">
    <w:name w:val="annotation reference"/>
    <w:basedOn w:val="19"/>
    <w:semiHidden/>
    <w:unhideWhenUsed/>
    <w:qFormat/>
    <w:uiPriority w:val="0"/>
    <w:rPr>
      <w:sz w:val="21"/>
      <w:szCs w:val="21"/>
    </w:rPr>
  </w:style>
  <w:style w:type="character" w:customStyle="1" w:styleId="23">
    <w:name w:val="标题 1 Char"/>
    <w:link w:val="3"/>
    <w:qFormat/>
    <w:uiPriority w:val="9"/>
    <w:rPr>
      <w:rFonts w:ascii="Times New Roman" w:hAnsi="Times New Roman" w:eastAsia="宋体" w:cs="Times New Roman"/>
      <w:b/>
      <w:bCs/>
      <w:kern w:val="44"/>
      <w:sz w:val="32"/>
      <w:szCs w:val="44"/>
    </w:rPr>
  </w:style>
  <w:style w:type="character" w:customStyle="1" w:styleId="24">
    <w:name w:val="标题 3 Char"/>
    <w:link w:val="5"/>
    <w:qFormat/>
    <w:uiPriority w:val="0"/>
    <w:rPr>
      <w:rFonts w:ascii="宋体" w:hAnsi="宋体" w:eastAsia="新宋体" w:cs="Times New Roman"/>
      <w:b/>
      <w:bCs/>
      <w:kern w:val="2"/>
      <w:sz w:val="28"/>
      <w:szCs w:val="32"/>
      <w:lang w:val="en-US" w:eastAsia="zh-CN" w:bidi="ar-SA"/>
    </w:rPr>
  </w:style>
  <w:style w:type="character" w:customStyle="1" w:styleId="25">
    <w:name w:val="标题 2 Char"/>
    <w:link w:val="4"/>
    <w:qFormat/>
    <w:uiPriority w:val="0"/>
    <w:rPr>
      <w:rFonts w:ascii="Arial" w:hAnsi="Arial" w:eastAsia="新宋体" w:cs="Times New Roman"/>
      <w:b/>
      <w:bCs/>
      <w:kern w:val="2"/>
      <w:sz w:val="32"/>
      <w:szCs w:val="32"/>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character" w:customStyle="1" w:styleId="27">
    <w:name w:val="font31"/>
    <w:basedOn w:val="19"/>
    <w:qFormat/>
    <w:uiPriority w:val="0"/>
    <w:rPr>
      <w:rFonts w:hint="eastAsia" w:ascii="新宋体" w:hAnsi="新宋体" w:eastAsia="新宋体" w:cs="新宋体"/>
      <w:b/>
      <w:color w:val="000000"/>
      <w:sz w:val="22"/>
      <w:szCs w:val="22"/>
      <w:u w:val="none"/>
    </w:rPr>
  </w:style>
  <w:style w:type="character" w:customStyle="1" w:styleId="28">
    <w:name w:val="font21"/>
    <w:basedOn w:val="19"/>
    <w:qFormat/>
    <w:uiPriority w:val="0"/>
    <w:rPr>
      <w:rFonts w:hint="eastAsia" w:ascii="新宋体" w:hAnsi="新宋体" w:eastAsia="新宋体" w:cs="新宋体"/>
      <w:color w:val="000000"/>
      <w:sz w:val="22"/>
      <w:szCs w:val="22"/>
      <w:u w:val="none"/>
    </w:rPr>
  </w:style>
  <w:style w:type="paragraph" w:customStyle="1" w:styleId="29">
    <w:name w:val="_Style 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列出段落2"/>
    <w:basedOn w:val="1"/>
    <w:unhideWhenUsed/>
    <w:qFormat/>
    <w:uiPriority w:val="99"/>
    <w:pPr>
      <w:ind w:firstLine="420" w:firstLineChars="200"/>
    </w:pPr>
    <w:rPr>
      <w:rFonts w:ascii="Calibri" w:hAnsi="Calibri"/>
    </w:rPr>
  </w:style>
  <w:style w:type="character" w:customStyle="1" w:styleId="31">
    <w:name w:val="页眉 Char"/>
    <w:basedOn w:val="19"/>
    <w:link w:val="14"/>
    <w:qFormat/>
    <w:uiPriority w:val="0"/>
    <w:rPr>
      <w:kern w:val="2"/>
      <w:sz w:val="18"/>
      <w:szCs w:val="18"/>
    </w:rPr>
  </w:style>
  <w:style w:type="paragraph" w:styleId="32">
    <w:name w:val="List Paragraph"/>
    <w:basedOn w:val="1"/>
    <w:unhideWhenUsed/>
    <w:qFormat/>
    <w:uiPriority w:val="99"/>
    <w:pPr>
      <w:ind w:firstLine="420" w:firstLineChars="200"/>
    </w:pPr>
  </w:style>
  <w:style w:type="character" w:customStyle="1" w:styleId="33">
    <w:name w:val="日期 Char"/>
    <w:basedOn w:val="19"/>
    <w:link w:val="11"/>
    <w:qFormat/>
    <w:uiPriority w:val="0"/>
    <w:rPr>
      <w:kern w:val="2"/>
      <w:sz w:val="21"/>
      <w:szCs w:val="24"/>
    </w:rPr>
  </w:style>
  <w:style w:type="character" w:customStyle="1" w:styleId="34">
    <w:name w:val="批注框文本 Char"/>
    <w:basedOn w:val="19"/>
    <w:link w:val="12"/>
    <w:semiHidden/>
    <w:qFormat/>
    <w:uiPriority w:val="0"/>
    <w:rPr>
      <w:kern w:val="2"/>
      <w:sz w:val="18"/>
      <w:szCs w:val="18"/>
    </w:rPr>
  </w:style>
  <w:style w:type="character" w:customStyle="1" w:styleId="35">
    <w:name w:val="批注文字 Char"/>
    <w:basedOn w:val="19"/>
    <w:link w:val="8"/>
    <w:semiHidden/>
    <w:qFormat/>
    <w:uiPriority w:val="0"/>
    <w:rPr>
      <w:kern w:val="2"/>
      <w:sz w:val="21"/>
      <w:szCs w:val="24"/>
    </w:rPr>
  </w:style>
  <w:style w:type="character" w:customStyle="1" w:styleId="36">
    <w:name w:val="批注主题 Char"/>
    <w:basedOn w:val="35"/>
    <w:link w:val="16"/>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1118</Words>
  <Characters>6376</Characters>
  <Lines>53</Lines>
  <Paragraphs>14</Paragraphs>
  <TotalTime>6</TotalTime>
  <ScaleCrop>false</ScaleCrop>
  <LinksUpToDate>false</LinksUpToDate>
  <CharactersWithSpaces>7480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2020-10-05T07:35:00Z</dcterms:created>
  <dc:creator>zhangshaofeng</dc:creator>
  <cp:lastModifiedBy>陈生</cp:lastModifiedBy>
  <cp:lastPrinted>2020-09-02T02:31:00Z</cp:lastPrinted>
  <dcterms:modified xsi:type="dcterms:W3CDTF">2020-11-11T07:22:52Z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