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广东松山职业技术学院</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广东松山职业技术学院概况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广东松山职业技术学院概况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（一）承担高等职业技术教育和成人高等学历教育；</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（二）承担职业技能培训和技术服务工作；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（三）开展高职教育等领域的科学研究；</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（四）开展国内外校际学术交流与教育合作。</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（一）本部门无下属单位，部门预算为厅本级预算。</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（二）本部门内设机构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学院目前现下设党政管理机构12个：党政办、纪检监察审计处、组宣部、教务处、科研处、人事处、财务处、学生处、招生办、资产设备管理处、后勤保障处、保卫处；教学机构6个：机械工程系、电气工程系、计算机系、经济管理系、外语系、基础教学部（思想政治理论课教学部）；教学辅助机构3个：图书馆、信息中心、实习工厂；群团组织：工会、团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2017年</w:t>
      </w:r>
      <w:r>
        <w:rPr>
          <w:rFonts w:hint="eastAsia" w:ascii="仿宋_GB2312" w:eastAsia="仿宋_GB2312"/>
          <w:sz w:val="32"/>
          <w:szCs w:val="32"/>
        </w:rPr>
        <w:t>12月4日，省编委下发《广东省机构编制委员会关于印发广东松山职业技术学院机构编制方案的通知》（粤机编发〔2017〕24号），其中规定：学院内设党政管理机构8个：党委办公室（与学院办公室合署）、组织宣传部、监察审计处（与纪委办公室合署）、人事部、教务部、财务部、学生工作部（招生和就业指导办公室）、总务部。工会、团委按规定设置。教学机构8个：电气工程系、机械工程系、计算机系、经济系、工商管理系、外语系、基础教学部、思想政治理论课教学部。教辅机构3个：图书馆、信息与现代教育技术中心、实训中心。</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由于学院党委书记、院长均已达退休年龄，学院领导班子即将面临换届，人事调整冻结，拟待新的领导班子到位后再按粤机编发〔2017〕24号文件要求进行内设机构调整。</w:t>
      </w:r>
    </w:p>
    <w:p>
      <w:pPr>
        <w:widowControl/>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人员构成情况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rPr>
          <w:sz w:val="32"/>
          <w:szCs w:val="32"/>
        </w:rPr>
      </w:pPr>
      <w:r>
        <w:rPr>
          <w:rFonts w:hint="eastAsia" w:ascii="仿宋_GB2312" w:hAnsi="宋体" w:eastAsia="仿宋_GB2312"/>
          <w:sz w:val="32"/>
          <w:szCs w:val="32"/>
        </w:rPr>
        <w:t>截止201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年6月30日，</w:t>
      </w:r>
      <w:r>
        <w:rPr>
          <w:rFonts w:hint="eastAsia" w:ascii="仿宋_GB2312" w:hAnsi="仿宋_GB2312" w:eastAsia="仿宋_GB2312" w:cs="仿宋_GB2312"/>
          <w:sz w:val="32"/>
          <w:szCs w:val="32"/>
        </w:rPr>
        <w:t>本单位共有事业编制</w:t>
      </w:r>
      <w:r>
        <w:rPr>
          <w:rFonts w:hint="eastAsia" w:ascii="仿宋_GB2312" w:hAnsi="仿宋_GB2312" w:eastAsia="仿宋_GB2312" w:cs="仿宋_GB2312"/>
          <w:sz w:val="32"/>
          <w:szCs w:val="32"/>
          <w:shd w:val="clear" w:color="auto" w:fill="FFFFFF"/>
          <w:lang w:val="en-US" w:eastAsia="zh-CN"/>
        </w:rPr>
        <w:t>273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其中：在职</w:t>
      </w:r>
      <w:r>
        <w:rPr>
          <w:rFonts w:hint="eastAsia" w:ascii="仿宋_GB2312" w:hAnsi="仿宋_GB2312" w:eastAsia="仿宋_GB2312" w:cs="仿宋_GB2312"/>
          <w:sz w:val="32"/>
          <w:szCs w:val="32"/>
          <w:lang w:val="en-US" w:eastAsia="zh-CN"/>
        </w:rPr>
        <w:t>262人、</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rPr>
        <w:t>人。</w:t>
      </w:r>
    </w:p>
    <w:p>
      <w:pPr>
        <w:widowControl/>
        <w:numPr>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hint="eastAsia" w:ascii="仿宋_GB2312" w:hAnsi="仿宋_GB2312" w:eastAsia="仿宋_GB2312" w:cs="仿宋_GB2312"/>
          <w:sz w:val="32"/>
          <w:szCs w:val="32"/>
          <w:lang w:val="en-US" w:eastAsia="zh-CN"/>
        </w:rPr>
        <w:sectPr>
          <w:footerReference r:id="rId3" w:type="default"/>
          <w:pgSz w:w="11906" w:h="16838"/>
          <w:pgMar w:top="720" w:right="720" w:bottom="720" w:left="72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2018年部门预算表</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5950" cy="3914140"/>
            <wp:effectExtent l="0" t="0" r="0"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695950" cy="3914140"/>
                    </a:xfrm>
                    <a:prstGeom prst="rect">
                      <a:avLst/>
                    </a:prstGeom>
                    <a:noFill/>
                    <a:ln w="9525">
                      <a:noFill/>
                    </a:ln>
                  </pic:spPr>
                </pic:pic>
              </a:graphicData>
            </a:graphic>
          </wp:inline>
        </w:drawing>
      </w: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33415" cy="3948430"/>
            <wp:effectExtent l="0" t="0" r="635" b="1397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733415" cy="3948430"/>
                    </a:xfrm>
                    <a:prstGeom prst="rect">
                      <a:avLst/>
                    </a:prstGeom>
                    <a:noFill/>
                    <a:ln w="9525">
                      <a:noFill/>
                    </a:ln>
                  </pic:spPr>
                </pic:pic>
              </a:graphicData>
            </a:graphic>
          </wp:inline>
        </w:drawing>
      </w:r>
    </w:p>
    <w:p>
      <w:pPr>
        <w:jc w:val="both"/>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24525" cy="6238875"/>
            <wp:effectExtent l="0" t="0" r="9525" b="952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7"/>
                    <a:stretch>
                      <a:fillRect/>
                    </a:stretch>
                  </pic:blipFill>
                  <pic:spPr>
                    <a:xfrm>
                      <a:off x="0" y="0"/>
                      <a:ext cx="5724525" cy="62388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5950" cy="2371090"/>
            <wp:effectExtent l="0" t="0" r="0" b="1016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8"/>
                    <a:stretch>
                      <a:fillRect/>
                    </a:stretch>
                  </pic:blipFill>
                  <pic:spPr>
                    <a:xfrm>
                      <a:off x="0" y="0"/>
                      <a:ext cx="5695950" cy="237109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28665" cy="2600325"/>
            <wp:effectExtent l="0" t="0" r="635" b="952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5828665" cy="2600325"/>
                    </a:xfrm>
                    <a:prstGeom prst="rect">
                      <a:avLst/>
                    </a:prstGeom>
                    <a:noFill/>
                    <a:ln w="9525">
                      <a:noFill/>
                    </a:ln>
                  </pic:spPr>
                </pic:pic>
              </a:graphicData>
            </a:graphic>
          </wp:inline>
        </w:drawing>
      </w: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29325" cy="3905250"/>
            <wp:effectExtent l="0" t="0" r="9525" b="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10"/>
                    <a:stretch>
                      <a:fillRect/>
                    </a:stretch>
                  </pic:blipFill>
                  <pic:spPr>
                    <a:xfrm>
                      <a:off x="0" y="0"/>
                      <a:ext cx="6029325" cy="39052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90590" cy="1504950"/>
            <wp:effectExtent l="0" t="0" r="10160" b="0"/>
            <wp:docPr id="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6"/>
                    <pic:cNvPicPr>
                      <a:picLocks noChangeAspect="1"/>
                    </pic:cNvPicPr>
                  </pic:nvPicPr>
                  <pic:blipFill>
                    <a:blip r:embed="rId11"/>
                    <a:stretch>
                      <a:fillRect/>
                    </a:stretch>
                  </pic:blipFill>
                  <pic:spPr>
                    <a:xfrm>
                      <a:off x="0" y="0"/>
                      <a:ext cx="5990590" cy="1504950"/>
                    </a:xfrm>
                    <a:prstGeom prst="rect">
                      <a:avLst/>
                    </a:prstGeom>
                    <a:noFill/>
                    <a:ln w="9525">
                      <a:noFill/>
                    </a:ln>
                  </pic:spPr>
                </pic:pic>
              </a:graphicData>
            </a:graphic>
          </wp:inline>
        </w:drawing>
      </w:r>
    </w:p>
    <w:p>
      <w:pPr>
        <w:jc w:val="both"/>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63895" cy="2555240"/>
            <wp:effectExtent l="0" t="0" r="8255" b="16510"/>
            <wp:docPr id="1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56"/>
                    <pic:cNvPicPr>
                      <a:picLocks noChangeAspect="1"/>
                    </pic:cNvPicPr>
                  </pic:nvPicPr>
                  <pic:blipFill>
                    <a:blip r:embed="rId12"/>
                    <a:stretch>
                      <a:fillRect/>
                    </a:stretch>
                  </pic:blipFill>
                  <pic:spPr>
                    <a:xfrm>
                      <a:off x="0" y="0"/>
                      <a:ext cx="5763895" cy="255524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3100" cy="4152900"/>
            <wp:effectExtent l="0" t="0" r="0" b="0"/>
            <wp:docPr id="1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56"/>
                    <pic:cNvPicPr>
                      <a:picLocks noChangeAspect="1"/>
                    </pic:cNvPicPr>
                  </pic:nvPicPr>
                  <pic:blipFill>
                    <a:blip r:embed="rId13"/>
                    <a:stretch>
                      <a:fillRect/>
                    </a:stretch>
                  </pic:blipFill>
                  <pic:spPr>
                    <a:xfrm>
                      <a:off x="0" y="0"/>
                      <a:ext cx="5753100" cy="4152900"/>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6755" cy="3268980"/>
            <wp:effectExtent l="0" t="0" r="4445" b="7620"/>
            <wp:docPr id="18"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IMG_256"/>
                    <pic:cNvPicPr>
                      <a:picLocks noChangeAspect="1"/>
                    </pic:cNvPicPr>
                  </pic:nvPicPr>
                  <pic:blipFill>
                    <a:blip r:embed="rId14"/>
                    <a:stretch>
                      <a:fillRect/>
                    </a:stretch>
                  </pic:blipFill>
                  <pic:spPr>
                    <a:xfrm>
                      <a:off x="0" y="0"/>
                      <a:ext cx="5786755" cy="3268980"/>
                    </a:xfrm>
                    <a:prstGeom prst="rect">
                      <a:avLst/>
                    </a:prstGeom>
                    <a:noFill/>
                    <a:ln w="9525">
                      <a:noFill/>
                    </a:ln>
                  </pic:spPr>
                </pic:pic>
              </a:graphicData>
            </a:graphic>
          </wp:inline>
        </w:drawing>
      </w:r>
    </w:p>
    <w:p>
      <w:pPr>
        <w:jc w:val="both"/>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44870" cy="4629150"/>
            <wp:effectExtent l="0" t="0" r="17780" b="0"/>
            <wp:docPr id="19"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IMG_256"/>
                    <pic:cNvPicPr>
                      <a:picLocks noChangeAspect="1"/>
                    </pic:cNvPicPr>
                  </pic:nvPicPr>
                  <pic:blipFill>
                    <a:blip r:embed="rId15"/>
                    <a:stretch>
                      <a:fillRect/>
                    </a:stretch>
                  </pic:blipFill>
                  <pic:spPr>
                    <a:xfrm>
                      <a:off x="0" y="0"/>
                      <a:ext cx="5944870" cy="4629150"/>
                    </a:xfrm>
                    <a:prstGeom prst="rect">
                      <a:avLst/>
                    </a:prstGeom>
                    <a:noFill/>
                    <a:ln w="9525">
                      <a:noFill/>
                    </a:ln>
                  </pic:spPr>
                </pic:pic>
              </a:graphicData>
            </a:graphic>
          </wp:inline>
        </w:drawing>
      </w: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jc w:val="center"/>
        <w:rPr>
          <w:rFonts w:hint="eastAsia" w:ascii="方正小标宋简体" w:hAnsi="方正小标宋简体" w:eastAsia="方正小标宋简体" w:cs="方正小标宋简体"/>
          <w:sz w:val="44"/>
          <w:szCs w:val="44"/>
          <w:lang w:val="en-US" w:eastAsia="zh-CN"/>
        </w:rPr>
      </w:pP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spacing w:line="560" w:lineRule="exact"/>
        <w:ind w:firstLine="640" w:firstLineChars="200"/>
        <w:rPr>
          <w:rFonts w:hint="eastAsia" w:ascii="黑体" w:hAnsi="黑体" w:eastAsia="黑体" w:cs="黑体"/>
          <w:sz w:val="32"/>
          <w:szCs w:val="32"/>
          <w:lang w:val="en-US" w:eastAsia="zh-CN"/>
        </w:rPr>
      </w:pPr>
      <w:r>
        <w:rPr>
          <w:rFonts w:hint="eastAsia" w:ascii="仿宋_GB2312" w:hAnsi="宋体" w:eastAsia="仿宋_GB2312"/>
          <w:sz w:val="32"/>
          <w:szCs w:val="32"/>
        </w:rPr>
        <w:t>2018年收入预算15242.55万元，比上年增加351.89万元，增长2.36%。</w:t>
      </w:r>
      <w:r>
        <w:rPr>
          <w:rFonts w:hint="eastAsia" w:ascii="仿宋_GB2312" w:hAnsi="仿宋_GB2312" w:eastAsia="仿宋_GB2312" w:cs="仿宋_GB2312"/>
          <w:sz w:val="32"/>
          <w:szCs w:val="32"/>
          <w:lang w:val="en-US" w:eastAsia="zh-CN"/>
        </w:rPr>
        <w:t>主要原因是在校生数量增长导致的生均拨款经费和教育收费的增长；</w:t>
      </w:r>
      <w:r>
        <w:rPr>
          <w:rFonts w:hint="eastAsia" w:ascii="仿宋_GB2312" w:hAnsi="宋体" w:eastAsia="仿宋_GB2312"/>
          <w:sz w:val="32"/>
          <w:szCs w:val="32"/>
        </w:rPr>
        <w:t>支出预算15242.55万元，比上年增加351.89万元，增长2.36%。</w:t>
      </w:r>
      <w:r>
        <w:rPr>
          <w:rFonts w:hint="eastAsia" w:ascii="仿宋_GB2312" w:hAnsi="仿宋_GB2312" w:eastAsia="仿宋_GB2312" w:cs="仿宋_GB2312"/>
          <w:sz w:val="32"/>
          <w:szCs w:val="32"/>
          <w:lang w:val="en-US" w:eastAsia="zh-CN"/>
        </w:rPr>
        <w:t>，主要原因是教师人数增长导致的人员支出增加。</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一般公共预算拨款未安排“三公”经费，财政专户拨款安排“三公”经费37万元，比上年减少3万元，下降7.5%，主要原因是本单位计划继续压减一般性支出。其中：因公出国（境）费20万元，与上年保持不变；公务用车购置及运行费0万元，与上年保持不变；公务接待费17万元，比上年减少3万元，下降15%，主要原因是本单位计划继续压减一般性支出。</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2018年本部门政府采购安排2848万元，其中：货物类采购预算1891万元，工程类采购预算429万元，服务类采购预算528万元。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abstractNum w:abstractNumId="4">
    <w:nsid w:val="5A9A059D"/>
    <w:multiLevelType w:val="singleLevel"/>
    <w:tmpl w:val="5A9A059D"/>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E378C"/>
    <w:rsid w:val="04DE6FB1"/>
    <w:rsid w:val="06CD2427"/>
    <w:rsid w:val="082B4AC9"/>
    <w:rsid w:val="0E0D69BB"/>
    <w:rsid w:val="0EE0775F"/>
    <w:rsid w:val="11A3390F"/>
    <w:rsid w:val="11F91913"/>
    <w:rsid w:val="13016A31"/>
    <w:rsid w:val="1314718B"/>
    <w:rsid w:val="174F1A95"/>
    <w:rsid w:val="17C07F78"/>
    <w:rsid w:val="18A83EFD"/>
    <w:rsid w:val="18B746D7"/>
    <w:rsid w:val="19930415"/>
    <w:rsid w:val="22C07799"/>
    <w:rsid w:val="231D3ABD"/>
    <w:rsid w:val="24061E19"/>
    <w:rsid w:val="28343296"/>
    <w:rsid w:val="2941177B"/>
    <w:rsid w:val="29935516"/>
    <w:rsid w:val="34ED1672"/>
    <w:rsid w:val="3A5755EA"/>
    <w:rsid w:val="426E3033"/>
    <w:rsid w:val="42BA1595"/>
    <w:rsid w:val="43BC7977"/>
    <w:rsid w:val="442C70F9"/>
    <w:rsid w:val="48AB0C62"/>
    <w:rsid w:val="4AEE1681"/>
    <w:rsid w:val="4E7A7FE7"/>
    <w:rsid w:val="50CB6A87"/>
    <w:rsid w:val="524E4B0C"/>
    <w:rsid w:val="546430DD"/>
    <w:rsid w:val="570348EC"/>
    <w:rsid w:val="59C127A7"/>
    <w:rsid w:val="5C410057"/>
    <w:rsid w:val="5DBD783D"/>
    <w:rsid w:val="5F941E93"/>
    <w:rsid w:val="60E37A9B"/>
    <w:rsid w:val="653C7E70"/>
    <w:rsid w:val="66D06120"/>
    <w:rsid w:val="689508FE"/>
    <w:rsid w:val="6D9B07DA"/>
    <w:rsid w:val="704D3B06"/>
    <w:rsid w:val="765D673B"/>
    <w:rsid w:val="77202B7E"/>
    <w:rsid w:val="77E82C46"/>
    <w:rsid w:val="7A3D118F"/>
    <w:rsid w:val="7CAA0901"/>
    <w:rsid w:val="7F88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大侠</cp:lastModifiedBy>
  <dcterms:modified xsi:type="dcterms:W3CDTF">2018-03-03T03:04:08Z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