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297988757"/>
      <w:bookmarkStart w:id="1" w:name="_Toc414890609"/>
      <w:bookmarkStart w:id="2" w:name="_Toc332032461"/>
    </w:p>
    <w:p/>
    <w:p/>
    <w:p>
      <w:pPr>
        <w:spacing w:line="540" w:lineRule="exact"/>
        <w:ind w:firstLine="645"/>
        <w:jc w:val="center"/>
        <w:rPr>
          <w:rFonts w:hint="eastAsia" w:ascii="仿宋_GB2312" w:eastAsia="仿宋_GB2312" w:cs="仿宋_GB2312"/>
          <w:b/>
          <w:bCs/>
          <w:sz w:val="36"/>
          <w:szCs w:val="36"/>
          <w:lang w:val="af-ZA"/>
        </w:rPr>
      </w:pPr>
      <w:r>
        <w:rPr>
          <w:rFonts w:hint="eastAsia" w:ascii="仿宋_GB2312" w:eastAsia="仿宋_GB2312" w:cs="仿宋_GB2312"/>
          <w:b/>
          <w:bCs/>
          <w:sz w:val="36"/>
          <w:szCs w:val="36"/>
          <w:lang w:val="af-ZA"/>
        </w:rPr>
        <w:t>用户需求书（OA系统维保服务）</w:t>
      </w:r>
    </w:p>
    <w:p>
      <w:pPr>
        <w:spacing w:line="540" w:lineRule="exact"/>
        <w:rPr>
          <w:rFonts w:hint="eastAsia" w:ascii="仿宋_GB2312" w:eastAsia="仿宋_GB2312" w:cs="仿宋_GB2312"/>
          <w:b/>
          <w:bCs/>
          <w:sz w:val="32"/>
          <w:szCs w:val="32"/>
          <w:lang w:val="af-ZA"/>
        </w:rPr>
      </w:pPr>
      <w:r>
        <w:rPr>
          <w:rFonts w:hint="eastAsia" w:ascii="仿宋_GB2312" w:eastAsia="仿宋_GB2312" w:cs="仿宋_GB2312"/>
          <w:b/>
          <w:bCs/>
          <w:sz w:val="32"/>
          <w:szCs w:val="32"/>
          <w:lang w:val="af-ZA"/>
        </w:rPr>
        <w:t>说明：</w:t>
      </w:r>
    </w:p>
    <w:p>
      <w:pPr>
        <w:spacing w:line="540" w:lineRule="exact"/>
        <w:ind w:firstLine="645"/>
        <w:rPr>
          <w:rFonts w:hint="eastAsia" w:ascii="仿宋_GB2312" w:eastAsia="仿宋_GB2312" w:cs="仿宋_GB2312"/>
          <w:b/>
          <w:bCs/>
          <w:sz w:val="32"/>
          <w:szCs w:val="32"/>
          <w:lang w:val="af-ZA"/>
        </w:rPr>
      </w:pPr>
      <w:r>
        <w:rPr>
          <w:rFonts w:hint="eastAsia" w:ascii="仿宋_GB2312" w:eastAsia="仿宋_GB2312" w:cs="仿宋_GB2312"/>
          <w:b/>
          <w:bCs/>
          <w:sz w:val="32"/>
          <w:szCs w:val="32"/>
          <w:lang w:val="af-ZA"/>
        </w:rPr>
        <w:t xml:space="preserve">响应供应商须对本项目的货物及服务进行整体响应，任何只对其中一部分内容进行的响应都被视为无效响应。 </w:t>
      </w:r>
    </w:p>
    <w:p>
      <w:pPr>
        <w:spacing w:line="540" w:lineRule="exact"/>
        <w:ind w:firstLine="645"/>
        <w:rPr>
          <w:rFonts w:hint="eastAsia" w:ascii="仿宋_GB2312" w:eastAsia="仿宋_GB2312" w:cs="仿宋_GB2312"/>
          <w:b/>
          <w:bCs/>
          <w:sz w:val="32"/>
          <w:szCs w:val="32"/>
          <w:lang w:val="af-ZA"/>
        </w:rPr>
      </w:pPr>
      <w:r>
        <w:rPr>
          <w:rFonts w:hint="eastAsia" w:ascii="仿宋_GB2312" w:eastAsia="仿宋_GB2312" w:cs="仿宋_GB2312"/>
          <w:b/>
          <w:bCs/>
          <w:sz w:val="32"/>
          <w:szCs w:val="32"/>
          <w:lang w:val="af-ZA"/>
        </w:rPr>
        <w:t>打“★”号条款为无效投标条款，响应供应商如有任何一条不响应或负偏离则导致无效响应。</w:t>
      </w:r>
    </w:p>
    <w:p>
      <w:pPr>
        <w:spacing w:line="540" w:lineRule="exact"/>
        <w:ind w:firstLine="645"/>
        <w:rPr>
          <w:rFonts w:hint="eastAsia" w:ascii="仿宋_GB2312" w:eastAsia="仿宋_GB2312" w:cs="仿宋_GB2312"/>
          <w:b/>
          <w:bCs/>
          <w:sz w:val="32"/>
          <w:szCs w:val="32"/>
          <w:lang w:val="af-ZA"/>
        </w:rPr>
      </w:pPr>
      <w:r>
        <w:rPr>
          <w:rFonts w:hint="eastAsia" w:ascii="仿宋_GB2312" w:eastAsia="仿宋_GB2312" w:cs="仿宋_GB2312"/>
          <w:b/>
          <w:bCs/>
          <w:sz w:val="32"/>
          <w:szCs w:val="32"/>
          <w:lang w:val="af-ZA"/>
        </w:rPr>
        <w:t>用户需求书中打“◆”号的内容为采购的主要标的，响应供应商应在报价表中清晰列明“标的名称、数量、单价”。</w:t>
      </w:r>
    </w:p>
    <w:tbl>
      <w:tblPr>
        <w:tblStyle w:val="12"/>
        <w:tblW w:w="81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645"/>
        <w:gridCol w:w="896"/>
        <w:gridCol w:w="2697"/>
        <w:gridCol w:w="196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645" w:type="dxa"/>
            <w:tcBorders>
              <w:top w:val="single" w:color="auto" w:sz="12" w:space="0"/>
              <w:bottom w:val="single" w:color="auto" w:sz="2" w:space="0"/>
            </w:tcBorders>
            <w:shd w:val="clear" w:color="auto" w:fill="EEECE1"/>
            <w:vAlign w:val="center"/>
          </w:tcPr>
          <w:p>
            <w:pPr>
              <w:jc w:val="center"/>
              <w:rPr>
                <w:rFonts w:hint="eastAsia" w:ascii="楷体" w:hAnsi="楷体" w:eastAsia="楷体" w:cs="楷体"/>
                <w:b/>
                <w:sz w:val="28"/>
                <w:szCs w:val="32"/>
              </w:rPr>
            </w:pPr>
            <w:r>
              <w:rPr>
                <w:rFonts w:hint="eastAsia" w:ascii="楷体" w:hAnsi="楷体" w:eastAsia="楷体" w:cs="楷体"/>
                <w:b/>
                <w:sz w:val="28"/>
                <w:szCs w:val="32"/>
              </w:rPr>
              <w:t>采购内容</w:t>
            </w:r>
          </w:p>
        </w:tc>
        <w:tc>
          <w:tcPr>
            <w:tcW w:w="896" w:type="dxa"/>
            <w:tcBorders>
              <w:top w:val="single" w:color="auto" w:sz="12" w:space="0"/>
              <w:bottom w:val="single" w:color="auto" w:sz="2" w:space="0"/>
            </w:tcBorders>
            <w:shd w:val="clear" w:color="auto" w:fill="EEECE1"/>
            <w:vAlign w:val="center"/>
          </w:tcPr>
          <w:p>
            <w:pPr>
              <w:jc w:val="center"/>
              <w:rPr>
                <w:rFonts w:hint="eastAsia" w:ascii="楷体" w:hAnsi="楷体" w:eastAsia="楷体" w:cs="楷体"/>
                <w:b/>
                <w:sz w:val="28"/>
                <w:szCs w:val="32"/>
              </w:rPr>
            </w:pPr>
            <w:r>
              <w:rPr>
                <w:rFonts w:hint="eastAsia" w:ascii="楷体" w:hAnsi="楷体" w:eastAsia="楷体" w:cs="楷体"/>
                <w:b/>
                <w:sz w:val="28"/>
                <w:szCs w:val="32"/>
              </w:rPr>
              <w:t>数量</w:t>
            </w:r>
          </w:p>
        </w:tc>
        <w:tc>
          <w:tcPr>
            <w:tcW w:w="2697" w:type="dxa"/>
            <w:tcBorders>
              <w:top w:val="single" w:color="auto" w:sz="12" w:space="0"/>
              <w:bottom w:val="single" w:color="auto" w:sz="2" w:space="0"/>
            </w:tcBorders>
            <w:shd w:val="clear" w:color="auto" w:fill="EEECE1"/>
            <w:vAlign w:val="center"/>
          </w:tcPr>
          <w:p>
            <w:pPr>
              <w:jc w:val="center"/>
              <w:rPr>
                <w:rFonts w:hint="eastAsia" w:ascii="楷体" w:hAnsi="楷体" w:eastAsia="楷体" w:cs="楷体"/>
                <w:b/>
                <w:sz w:val="28"/>
                <w:szCs w:val="32"/>
                <w:lang w:val="en-US" w:eastAsia="zh-CN"/>
              </w:rPr>
            </w:pPr>
            <w:r>
              <w:rPr>
                <w:rFonts w:hint="eastAsia" w:ascii="楷体" w:hAnsi="楷体" w:eastAsia="楷体" w:cs="楷体"/>
                <w:b/>
                <w:sz w:val="28"/>
                <w:szCs w:val="32"/>
                <w:lang w:val="en-US" w:eastAsia="zh-CN"/>
              </w:rPr>
              <w:t>服务期限</w:t>
            </w:r>
          </w:p>
        </w:tc>
        <w:tc>
          <w:tcPr>
            <w:tcW w:w="1961" w:type="dxa"/>
            <w:tcBorders>
              <w:top w:val="single" w:color="auto" w:sz="12" w:space="0"/>
              <w:bottom w:val="single" w:color="auto" w:sz="2" w:space="0"/>
            </w:tcBorders>
            <w:shd w:val="clear" w:color="auto" w:fill="EEECE1"/>
            <w:vAlign w:val="center"/>
          </w:tcPr>
          <w:p>
            <w:pPr>
              <w:jc w:val="center"/>
              <w:rPr>
                <w:rFonts w:hint="eastAsia" w:ascii="楷体" w:hAnsi="楷体" w:eastAsia="楷体" w:cs="楷体"/>
                <w:sz w:val="28"/>
                <w:szCs w:val="32"/>
              </w:rPr>
            </w:pPr>
            <w:r>
              <w:rPr>
                <w:rFonts w:hint="eastAsia" w:ascii="楷体" w:hAnsi="楷体" w:eastAsia="楷体" w:cs="楷体"/>
                <w:b/>
                <w:sz w:val="28"/>
                <w:szCs w:val="32"/>
              </w:rPr>
              <w:t>最高限价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645" w:type="dxa"/>
            <w:tcBorders>
              <w:top w:val="single" w:color="auto" w:sz="2" w:space="0"/>
            </w:tcBorders>
            <w:vAlign w:val="center"/>
          </w:tcPr>
          <w:p>
            <w:pPr>
              <w:jc w:val="center"/>
              <w:rPr>
                <w:rFonts w:hint="eastAsia" w:ascii="宋体" w:hAnsi="宋体" w:eastAsiaTheme="minorEastAsia"/>
                <w:lang w:eastAsia="zh-CN"/>
              </w:rPr>
            </w:pPr>
            <w:r>
              <w:rPr>
                <w:rFonts w:hint="eastAsia" w:ascii="宋体" w:hAnsi="宋体"/>
                <w:b/>
                <w:bCs/>
                <w:sz w:val="20"/>
                <w:szCs w:val="18"/>
              </w:rPr>
              <w:t>◆</w:t>
            </w:r>
            <w:r>
              <w:rPr>
                <w:rFonts w:hint="eastAsia" w:ascii="仿宋_GB2312" w:eastAsia="仿宋_GB2312" w:cs="仿宋_GB2312"/>
                <w:sz w:val="24"/>
                <w:szCs w:val="24"/>
                <w:lang w:val="en-US" w:eastAsia="zh-CN"/>
              </w:rPr>
              <w:t>OA系统维保服务</w:t>
            </w:r>
          </w:p>
        </w:tc>
        <w:tc>
          <w:tcPr>
            <w:tcW w:w="896" w:type="dxa"/>
            <w:tcBorders>
              <w:top w:val="single" w:color="auto" w:sz="2"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一项</w:t>
            </w:r>
          </w:p>
        </w:tc>
        <w:tc>
          <w:tcPr>
            <w:tcW w:w="2697" w:type="dxa"/>
            <w:tcBorders>
              <w:top w:val="single" w:color="auto" w:sz="2"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自合同签订之日起一年</w:t>
            </w:r>
          </w:p>
        </w:tc>
        <w:tc>
          <w:tcPr>
            <w:tcW w:w="1961" w:type="dxa"/>
            <w:tcBorders>
              <w:top w:val="single" w:color="auto" w:sz="2" w:space="0"/>
            </w:tcBorders>
            <w:vAlign w:val="center"/>
          </w:tcPr>
          <w:p>
            <w:pPr>
              <w:jc w:val="center"/>
              <w:rPr>
                <w:rFonts w:hint="eastAsia" w:ascii="仿宋_GB2312" w:eastAsia="仿宋_GB2312" w:cs="仿宋_GB2312"/>
                <w:sz w:val="24"/>
                <w:szCs w:val="24"/>
                <w:lang w:val="en-US" w:eastAsia="zh-CN"/>
              </w:rPr>
            </w:pPr>
            <w:r>
              <w:rPr>
                <w:rFonts w:hint="eastAsia" w:ascii="仿宋_GB2312" w:eastAsia="仿宋_GB2312" w:cs="仿宋_GB2312"/>
                <w:sz w:val="24"/>
                <w:szCs w:val="24"/>
                <w:lang w:val="en-US" w:eastAsia="zh-CN"/>
              </w:rPr>
              <w:t>人民币11000</w:t>
            </w:r>
            <w:r>
              <w:rPr>
                <w:rFonts w:hint="eastAsia" w:ascii="仿宋_GB2312" w:eastAsia="仿宋_GB2312" w:cs="仿宋_GB2312"/>
                <w:sz w:val="24"/>
                <w:szCs w:val="24"/>
                <w:lang w:val="zh-CN" w:eastAsia="zh-CN"/>
              </w:rPr>
              <w:t>元</w:t>
            </w:r>
          </w:p>
        </w:tc>
      </w:tr>
    </w:tbl>
    <w:p/>
    <w:p/>
    <w:p>
      <w:pPr>
        <w:pStyle w:val="7"/>
        <w:numPr>
          <w:ilvl w:val="0"/>
          <w:numId w:val="1"/>
        </w:numPr>
        <w:tabs>
          <w:tab w:val="left" w:pos="540"/>
        </w:tabs>
        <w:adjustRightInd w:val="0"/>
        <w:snapToGrid w:val="0"/>
        <w:spacing w:line="360" w:lineRule="auto"/>
        <w:rPr>
          <w:rFonts w:hint="eastAsia" w:ascii="仿宋_GB2312" w:eastAsia="仿宋_GB2312" w:cs="仿宋_GB2312" w:hAnsiTheme="minorHAnsi"/>
          <w:b/>
          <w:bCs/>
          <w:kern w:val="2"/>
          <w:sz w:val="36"/>
          <w:szCs w:val="36"/>
          <w:lang w:val="af-ZA" w:eastAsia="zh-CN" w:bidi="ar-SA"/>
        </w:rPr>
      </w:pPr>
      <w:r>
        <w:rPr>
          <w:rFonts w:hint="eastAsia" w:ascii="仿宋_GB2312" w:eastAsia="仿宋_GB2312" w:cs="仿宋_GB2312" w:hAnsiTheme="minorHAnsi"/>
          <w:b/>
          <w:bCs/>
          <w:kern w:val="2"/>
          <w:sz w:val="36"/>
          <w:szCs w:val="36"/>
          <w:lang w:val="af-ZA" w:eastAsia="zh-CN" w:bidi="ar-SA"/>
        </w:rPr>
        <w:t>项目概况</w:t>
      </w:r>
    </w:p>
    <w:p>
      <w:pPr>
        <w:spacing w:line="540" w:lineRule="exact"/>
        <w:ind w:firstLine="645"/>
        <w:rPr>
          <w:rFonts w:hint="default" w:ascii="仿宋_GB2312" w:eastAsia="仿宋_GB2312" w:cs="仿宋_GB2312"/>
          <w:sz w:val="32"/>
          <w:szCs w:val="32"/>
          <w:lang w:val="en-US" w:eastAsia="zh-CN"/>
        </w:rPr>
      </w:pPr>
      <w:r>
        <w:rPr>
          <w:rFonts w:hint="eastAsia" w:ascii="仿宋_GB2312" w:eastAsia="仿宋_GB2312" w:cs="仿宋_GB2312"/>
          <w:sz w:val="32"/>
          <w:szCs w:val="32"/>
          <w:lang w:val="af-ZA"/>
        </w:rPr>
        <w:t>1、项目名称：</w:t>
      </w:r>
      <w:r>
        <w:rPr>
          <w:rFonts w:hint="eastAsia" w:ascii="仿宋_GB2312" w:eastAsia="仿宋_GB2312" w:cs="仿宋_GB2312"/>
          <w:sz w:val="32"/>
          <w:szCs w:val="32"/>
          <w:lang w:val="en-US" w:eastAsia="zh-CN"/>
        </w:rPr>
        <w:t>OA系统维保服务</w:t>
      </w:r>
      <w:bookmarkStart w:id="28" w:name="_GoBack"/>
      <w:bookmarkEnd w:id="28"/>
    </w:p>
    <w:p>
      <w:pPr>
        <w:spacing w:line="540" w:lineRule="exact"/>
        <w:ind w:firstLine="645"/>
        <w:rPr>
          <w:rFonts w:hint="eastAsia" w:ascii="仿宋_GB2312" w:eastAsia="仿宋_GB2312" w:cs="仿宋_GB2312"/>
          <w:sz w:val="32"/>
          <w:szCs w:val="32"/>
        </w:rPr>
      </w:pPr>
      <w:r>
        <w:rPr>
          <w:rFonts w:hint="eastAsia" w:ascii="仿宋_GB2312" w:eastAsia="仿宋_GB2312" w:cs="仿宋_GB2312"/>
          <w:sz w:val="32"/>
          <w:szCs w:val="32"/>
        </w:rPr>
        <w:t>2、采购预算：人民币</w:t>
      </w:r>
      <w:r>
        <w:rPr>
          <w:rFonts w:hint="eastAsia" w:ascii="仿宋_GB2312" w:eastAsia="仿宋_GB2312" w:cs="仿宋_GB2312"/>
          <w:sz w:val="32"/>
          <w:szCs w:val="32"/>
          <w:lang w:val="en-US" w:eastAsia="zh-CN"/>
        </w:rPr>
        <w:t>11000</w:t>
      </w:r>
      <w:r>
        <w:rPr>
          <w:rFonts w:hint="eastAsia" w:ascii="仿宋_GB2312" w:eastAsia="仿宋_GB2312" w:cs="仿宋_GB2312"/>
          <w:sz w:val="32"/>
          <w:szCs w:val="32"/>
        </w:rPr>
        <w:t>元/年，</w:t>
      </w:r>
      <w:r>
        <w:rPr>
          <w:rFonts w:hint="eastAsia" w:ascii="仿宋_GB2312" w:eastAsia="仿宋_GB2312" w:cs="仿宋_GB2312"/>
          <w:sz w:val="32"/>
          <w:szCs w:val="32"/>
          <w:lang w:val="en-US" w:eastAsia="zh-CN"/>
        </w:rPr>
        <w:t>服务期</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一</w:t>
      </w:r>
      <w:r>
        <w:rPr>
          <w:rFonts w:hint="eastAsia" w:ascii="仿宋_GB2312" w:eastAsia="仿宋_GB2312" w:cs="仿宋_GB2312"/>
          <w:sz w:val="32"/>
          <w:szCs w:val="32"/>
        </w:rPr>
        <w:t>年，共人民币</w:t>
      </w:r>
      <w:r>
        <w:rPr>
          <w:rFonts w:hint="eastAsia" w:ascii="仿宋_GB2312" w:eastAsia="仿宋_GB2312" w:cs="仿宋_GB2312"/>
          <w:sz w:val="32"/>
          <w:szCs w:val="32"/>
          <w:lang w:val="en-US" w:eastAsia="zh-CN"/>
        </w:rPr>
        <w:t>11000</w:t>
      </w:r>
      <w:r>
        <w:rPr>
          <w:rFonts w:hint="eastAsia" w:ascii="仿宋_GB2312" w:eastAsia="仿宋_GB2312" w:cs="仿宋_GB2312"/>
          <w:sz w:val="32"/>
          <w:szCs w:val="32"/>
        </w:rPr>
        <w:t>元/</w:t>
      </w:r>
      <w:r>
        <w:rPr>
          <w:rFonts w:hint="eastAsia" w:ascii="仿宋_GB2312" w:eastAsia="仿宋_GB2312" w:cs="仿宋_GB2312"/>
          <w:sz w:val="32"/>
          <w:szCs w:val="32"/>
          <w:lang w:val="en-US" w:eastAsia="zh-CN"/>
        </w:rPr>
        <w:t>一</w:t>
      </w:r>
      <w:r>
        <w:rPr>
          <w:rFonts w:hint="eastAsia" w:ascii="仿宋_GB2312" w:eastAsia="仿宋_GB2312" w:cs="仿宋_GB2312"/>
          <w:sz w:val="32"/>
          <w:szCs w:val="32"/>
        </w:rPr>
        <w:t>年</w:t>
      </w:r>
    </w:p>
    <w:p>
      <w:pPr>
        <w:spacing w:line="540" w:lineRule="exact"/>
        <w:ind w:firstLine="645"/>
        <w:rPr>
          <w:rFonts w:hint="eastAsia" w:ascii="仿宋_GB2312" w:eastAsia="仿宋_GB2312" w:cs="仿宋_GB2312"/>
          <w:sz w:val="32"/>
          <w:szCs w:val="32"/>
        </w:rPr>
      </w:pPr>
      <w:r>
        <w:rPr>
          <w:rFonts w:hint="eastAsia" w:ascii="仿宋_GB2312" w:eastAsia="仿宋_GB2312" w:cs="仿宋_GB2312"/>
          <w:sz w:val="32"/>
          <w:szCs w:val="32"/>
        </w:rPr>
        <w:t xml:space="preserve">3、用    户：广东松山职业技术学院 </w:t>
      </w:r>
    </w:p>
    <w:p>
      <w:pPr>
        <w:spacing w:line="540" w:lineRule="exact"/>
        <w:ind w:firstLine="645"/>
        <w:rPr>
          <w:rFonts w:hint="eastAsia" w:ascii="仿宋_GB2312" w:eastAsia="仿宋_GB2312" w:cs="仿宋_GB2312"/>
          <w:sz w:val="32"/>
          <w:szCs w:val="32"/>
        </w:rPr>
      </w:pPr>
      <w:r>
        <w:rPr>
          <w:rFonts w:hint="eastAsia" w:ascii="仿宋_GB2312" w:eastAsia="仿宋_GB2312" w:cs="仿宋_GB2312"/>
          <w:sz w:val="32"/>
          <w:szCs w:val="32"/>
        </w:rPr>
        <w:t>4、</w:t>
      </w:r>
      <w:r>
        <w:rPr>
          <w:rFonts w:hint="eastAsia" w:ascii="仿宋_GB2312" w:eastAsia="仿宋_GB2312" w:cs="仿宋_GB2312"/>
          <w:sz w:val="32"/>
          <w:szCs w:val="32"/>
          <w:lang w:val="en-US" w:eastAsia="zh-CN"/>
        </w:rPr>
        <w:t>服务期</w:t>
      </w:r>
      <w:r>
        <w:rPr>
          <w:rFonts w:hint="eastAsia" w:ascii="仿宋_GB2312" w:eastAsia="仿宋_GB2312" w:cs="仿宋_GB2312"/>
          <w:sz w:val="32"/>
          <w:szCs w:val="32"/>
        </w:rPr>
        <w:t>：</w:t>
      </w:r>
      <w:r>
        <w:rPr>
          <w:rFonts w:hint="eastAsia" w:ascii="仿宋_GB2312" w:eastAsia="仿宋_GB2312" w:cs="仿宋_GB2312"/>
          <w:sz w:val="32"/>
          <w:szCs w:val="32"/>
          <w:lang w:val="en-US" w:eastAsia="zh-CN"/>
        </w:rPr>
        <w:t>一</w:t>
      </w:r>
      <w:r>
        <w:rPr>
          <w:rFonts w:hint="eastAsia" w:ascii="仿宋_GB2312" w:eastAsia="仿宋_GB2312" w:cs="仿宋_GB2312"/>
          <w:sz w:val="32"/>
          <w:szCs w:val="32"/>
        </w:rPr>
        <w:t>年</w:t>
      </w:r>
    </w:p>
    <w:p>
      <w:pPr>
        <w:spacing w:line="540" w:lineRule="exact"/>
        <w:ind w:firstLine="645"/>
        <w:rPr>
          <w:rFonts w:hint="eastAsia" w:ascii="仿宋_GB2312" w:eastAsia="仿宋_GB2312" w:cs="仿宋_GB2312"/>
          <w:sz w:val="32"/>
          <w:szCs w:val="32"/>
        </w:rPr>
      </w:pPr>
      <w:r>
        <w:rPr>
          <w:rFonts w:hint="eastAsia" w:ascii="仿宋_GB2312" w:eastAsia="仿宋_GB2312" w:cs="仿宋_GB2312"/>
          <w:sz w:val="32"/>
          <w:szCs w:val="32"/>
        </w:rPr>
        <w:t>5、</w:t>
      </w:r>
      <w:r>
        <w:rPr>
          <w:rFonts w:hint="eastAsia" w:ascii="仿宋_GB2312" w:eastAsia="仿宋_GB2312" w:cs="仿宋_GB2312"/>
          <w:sz w:val="32"/>
          <w:szCs w:val="32"/>
          <w:lang w:val="af-ZA"/>
        </w:rPr>
        <w:t>供应商应对项目内所有内容进行投标，不允许只对其中部分内容进行投标。</w:t>
      </w:r>
    </w:p>
    <w:p>
      <w:pPr>
        <w:spacing w:line="540" w:lineRule="exact"/>
        <w:ind w:firstLine="645"/>
        <w:rPr>
          <w:rFonts w:hint="eastAsia" w:ascii="仿宋_GB2312" w:eastAsia="仿宋_GB2312" w:cs="仿宋_GB2312"/>
          <w:sz w:val="32"/>
          <w:szCs w:val="32"/>
        </w:rPr>
      </w:pPr>
      <w:r>
        <w:rPr>
          <w:rFonts w:hint="eastAsia" w:ascii="仿宋_GB2312" w:eastAsia="仿宋_GB2312" w:cs="仿宋_GB2312"/>
          <w:sz w:val="32"/>
          <w:szCs w:val="32"/>
        </w:rPr>
        <w:t>6、投标价格包括：</w:t>
      </w:r>
    </w:p>
    <w:p>
      <w:pPr>
        <w:spacing w:line="540" w:lineRule="exact"/>
        <w:ind w:firstLine="645"/>
        <w:rPr>
          <w:rFonts w:hint="eastAsia" w:ascii="仿宋_GB2312" w:eastAsia="仿宋_GB2312" w:cs="仿宋_GB2312"/>
          <w:sz w:val="32"/>
          <w:szCs w:val="32"/>
        </w:rPr>
      </w:pPr>
      <w:r>
        <w:rPr>
          <w:rFonts w:hint="eastAsia" w:ascii="仿宋_GB2312" w:eastAsia="仿宋_GB2312" w:cs="仿宋_GB2312"/>
          <w:sz w:val="32"/>
          <w:szCs w:val="32"/>
        </w:rPr>
        <w:t>（1）</w:t>
      </w:r>
      <w:r>
        <w:rPr>
          <w:rFonts w:hint="eastAsia" w:ascii="仿宋_GB2312" w:eastAsia="仿宋_GB2312" w:cs="仿宋_GB2312"/>
          <w:sz w:val="32"/>
          <w:szCs w:val="32"/>
          <w:lang w:val="en-US" w:eastAsia="zh-CN"/>
        </w:rPr>
        <w:t>OA维保服务所需人工成本</w:t>
      </w:r>
      <w:r>
        <w:rPr>
          <w:rFonts w:hint="eastAsia" w:ascii="仿宋_GB2312" w:eastAsia="仿宋_GB2312" w:cs="仿宋_GB2312"/>
          <w:sz w:val="32"/>
          <w:szCs w:val="32"/>
        </w:rPr>
        <w:t>及相关全额含税发票、合同实施过程中应预见和不可预见费用等。所有价格均应以人民币报价，金额单位为元。</w:t>
      </w:r>
    </w:p>
    <w:p>
      <w:pPr>
        <w:spacing w:line="540" w:lineRule="exact"/>
        <w:ind w:firstLine="645"/>
        <w:rPr>
          <w:rFonts w:hint="eastAsia" w:ascii="仿宋_GB2312" w:eastAsia="仿宋_GB2312" w:cs="仿宋_GB2312" w:hAnsiTheme="minorHAnsi"/>
          <w:b/>
          <w:bCs/>
          <w:kern w:val="2"/>
          <w:sz w:val="32"/>
          <w:szCs w:val="32"/>
          <w:lang w:val="af-ZA" w:eastAsia="zh-CN" w:bidi="ar-SA"/>
        </w:rPr>
      </w:pPr>
      <w:r>
        <w:rPr>
          <w:rFonts w:hint="eastAsia" w:ascii="仿宋_GB2312" w:eastAsia="仿宋_GB2312" w:cs="仿宋_GB2312"/>
          <w:sz w:val="32"/>
          <w:szCs w:val="32"/>
        </w:rPr>
        <w:t>（</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）人员培训和售后服务的相关费用。</w:t>
      </w:r>
    </w:p>
    <w:p>
      <w:pPr>
        <w:pStyle w:val="7"/>
        <w:numPr>
          <w:ilvl w:val="0"/>
          <w:numId w:val="1"/>
        </w:numPr>
        <w:tabs>
          <w:tab w:val="left" w:pos="540"/>
        </w:tabs>
        <w:adjustRightInd w:val="0"/>
        <w:snapToGrid w:val="0"/>
        <w:spacing w:line="360" w:lineRule="auto"/>
        <w:rPr>
          <w:rFonts w:hint="eastAsia" w:ascii="仿宋_GB2312" w:eastAsia="仿宋_GB2312" w:cs="仿宋_GB2312" w:hAnsiTheme="minorHAnsi"/>
          <w:b/>
          <w:bCs/>
          <w:kern w:val="2"/>
          <w:sz w:val="36"/>
          <w:szCs w:val="36"/>
          <w:lang w:val="af-ZA" w:eastAsia="zh-CN" w:bidi="ar-SA"/>
        </w:rPr>
      </w:pPr>
      <w:r>
        <w:rPr>
          <w:rFonts w:hint="eastAsia" w:ascii="仿宋_GB2312" w:eastAsia="仿宋_GB2312" w:cs="仿宋_GB2312" w:hAnsiTheme="minorHAnsi"/>
          <w:b/>
          <w:bCs/>
          <w:kern w:val="2"/>
          <w:sz w:val="36"/>
          <w:szCs w:val="36"/>
          <w:lang w:val="af-ZA" w:eastAsia="zh-CN" w:bidi="ar-SA"/>
        </w:rPr>
        <w:t>清单及服务要求：</w:t>
      </w:r>
    </w:p>
    <w:p>
      <w:pPr>
        <w:spacing w:line="540" w:lineRule="exact"/>
        <w:rPr>
          <w:rFonts w:hint="eastAsia" w:ascii="仿宋_GB2312" w:eastAsia="仿宋_GB2312" w:cs="仿宋_GB2312"/>
          <w:b/>
          <w:bCs/>
          <w:sz w:val="36"/>
          <w:szCs w:val="36"/>
        </w:rPr>
      </w:pPr>
      <w:bookmarkStart w:id="3" w:name="_Toc524533888"/>
      <w:r>
        <w:rPr>
          <w:rFonts w:hint="eastAsia" w:ascii="仿宋_GB2312" w:eastAsia="仿宋_GB2312" w:cs="仿宋_GB2312"/>
          <w:b/>
          <w:bCs/>
          <w:sz w:val="36"/>
          <w:szCs w:val="36"/>
          <w:lang w:val="en-US" w:eastAsia="zh-CN"/>
        </w:rPr>
        <w:t>1、项目</w:t>
      </w:r>
      <w:r>
        <w:rPr>
          <w:rFonts w:hint="eastAsia" w:ascii="仿宋_GB2312" w:eastAsia="仿宋_GB2312" w:cs="仿宋_GB2312"/>
          <w:b/>
          <w:bCs/>
          <w:sz w:val="36"/>
          <w:szCs w:val="36"/>
        </w:rPr>
        <w:t xml:space="preserve">背景 </w:t>
      </w:r>
    </w:p>
    <w:p>
      <w:pPr>
        <w:spacing w:line="540" w:lineRule="exact"/>
        <w:ind w:firstLine="645"/>
        <w:rPr>
          <w:rFonts w:hint="eastAsia" w:ascii="仿宋_GB2312" w:eastAsia="仿宋_GB2312" w:cs="仿宋_GB2312"/>
          <w:sz w:val="32"/>
          <w:szCs w:val="32"/>
        </w:rPr>
      </w:pPr>
      <w:r>
        <w:rPr>
          <w:rFonts w:hint="eastAsia" w:ascii="仿宋_GB2312" w:eastAsia="仿宋_GB2312" w:cs="仿宋_GB2312"/>
          <w:sz w:val="32"/>
          <w:szCs w:val="32"/>
          <w:lang w:val="en-US" w:eastAsia="zh-CN"/>
        </w:rPr>
        <w:t>办公自动化系统（OA）系</w:t>
      </w:r>
      <w:r>
        <w:rPr>
          <w:rFonts w:hint="eastAsia" w:ascii="仿宋_GB2312" w:eastAsia="仿宋_GB2312" w:cs="仿宋_GB2312"/>
          <w:sz w:val="32"/>
          <w:szCs w:val="32"/>
        </w:rPr>
        <w:t>广东松山职业技术学院数字化校园一期采软件购项目，项目质保期3年，目前已经过质保期。</w:t>
      </w:r>
    </w:p>
    <w:p>
      <w:pPr>
        <w:spacing w:line="540" w:lineRule="exact"/>
        <w:ind w:firstLine="645"/>
        <w:rPr>
          <w:rFonts w:hint="eastAsia" w:ascii="仿宋_GB2312" w:eastAsia="仿宋_GB2312" w:cs="仿宋_GB2312"/>
          <w:sz w:val="32"/>
          <w:szCs w:val="32"/>
        </w:rPr>
      </w:pPr>
      <w:r>
        <w:rPr>
          <w:rFonts w:hint="eastAsia" w:ascii="仿宋_GB2312" w:eastAsia="仿宋_GB2312" w:cs="仿宋_GB2312"/>
          <w:sz w:val="32"/>
          <w:szCs w:val="32"/>
          <w:lang w:val="en-US" w:eastAsia="zh-CN"/>
        </w:rPr>
        <w:t>该系统</w:t>
      </w:r>
      <w:r>
        <w:rPr>
          <w:rFonts w:hint="eastAsia" w:ascii="仿宋_GB2312" w:eastAsia="仿宋_GB2312" w:cs="仿宋_GB2312"/>
          <w:sz w:val="32"/>
          <w:szCs w:val="32"/>
        </w:rPr>
        <w:t>部署在学校机房中，需专职人员对操作系统、应用软件、数据库、数据交换的维护及相应的技术支持服务。当操作系统、应用软件、数据库、数据交换出现故障，将导致学校无法正常使用软件，影响学校师生的办公、学习等。为保障项目顺畅运行，</w:t>
      </w:r>
      <w:r>
        <w:rPr>
          <w:rFonts w:hint="eastAsia" w:ascii="仿宋_GB2312" w:eastAsia="仿宋_GB2312" w:cs="仿宋_GB2312"/>
          <w:sz w:val="32"/>
          <w:szCs w:val="32"/>
          <w:lang w:val="en-US" w:eastAsia="zh-CN"/>
        </w:rPr>
        <w:t>需从服务提供单位购买</w:t>
      </w:r>
      <w:r>
        <w:rPr>
          <w:rFonts w:hint="eastAsia" w:ascii="仿宋_GB2312" w:eastAsia="仿宋_GB2312" w:cs="仿宋_GB2312"/>
          <w:sz w:val="32"/>
          <w:szCs w:val="32"/>
        </w:rPr>
        <w:t>有偿运维及技术支持服务。</w:t>
      </w:r>
    </w:p>
    <w:p/>
    <w:p/>
    <w:bookmarkEnd w:id="3"/>
    <w:p>
      <w:pPr>
        <w:spacing w:line="540" w:lineRule="exact"/>
        <w:rPr>
          <w:rFonts w:hint="eastAsia" w:ascii="仿宋_GB2312" w:eastAsia="仿宋_GB2312" w:cs="仿宋_GB2312"/>
          <w:b/>
          <w:bCs/>
          <w:sz w:val="36"/>
          <w:szCs w:val="36"/>
          <w:lang w:val="en-US" w:eastAsia="zh-CN"/>
        </w:rPr>
      </w:pPr>
      <w:r>
        <w:rPr>
          <w:rFonts w:hint="eastAsia" w:ascii="仿宋_GB2312" w:eastAsia="仿宋_GB2312" w:cs="仿宋_GB2312"/>
          <w:b/>
          <w:bCs/>
          <w:sz w:val="36"/>
          <w:szCs w:val="36"/>
          <w:lang w:val="en-US" w:eastAsia="zh-CN"/>
        </w:rPr>
        <w:t>2、需求描述：</w:t>
      </w:r>
    </w:p>
    <w:p/>
    <w:p>
      <w:pPr>
        <w:pStyle w:val="6"/>
        <w:bidi w:val="0"/>
        <w:rPr>
          <w:rFonts w:hint="eastAsia" w:ascii="仿宋_GB2312" w:eastAsia="仿宋_GB2312" w:cs="仿宋_GB2312" w:hAnsiTheme="minorHAnsi"/>
          <w:b/>
          <w:bCs/>
          <w:kern w:val="2"/>
          <w:sz w:val="28"/>
          <w:szCs w:val="28"/>
          <w:lang w:val="en-US" w:eastAsia="zh-CN" w:bidi="ar-SA"/>
        </w:rPr>
      </w:pPr>
      <w:bookmarkStart w:id="4" w:name="_Toc524533889"/>
      <w:r>
        <w:rPr>
          <w:rFonts w:hint="eastAsia" w:ascii="仿宋_GB2312" w:eastAsia="仿宋_GB2312" w:cs="仿宋_GB2312"/>
          <w:b/>
          <w:bCs/>
          <w:kern w:val="2"/>
          <w:sz w:val="28"/>
          <w:szCs w:val="28"/>
          <w:lang w:val="en-US" w:eastAsia="zh-CN" w:bidi="ar-SA"/>
        </w:rPr>
        <w:t>（1）</w:t>
      </w:r>
      <w:r>
        <w:rPr>
          <w:rFonts w:hint="eastAsia" w:ascii="仿宋_GB2312" w:eastAsia="仿宋_GB2312" w:cs="仿宋_GB2312" w:hAnsiTheme="minorHAnsi"/>
          <w:b/>
          <w:bCs/>
          <w:kern w:val="2"/>
          <w:sz w:val="28"/>
          <w:szCs w:val="28"/>
          <w:lang w:val="en-US" w:eastAsia="zh-CN" w:bidi="ar-SA"/>
        </w:rPr>
        <w:t>主机运维服务</w:t>
      </w:r>
      <w:bookmarkEnd w:id="4"/>
    </w:p>
    <w:tbl>
      <w:tblPr>
        <w:tblStyle w:val="12"/>
        <w:tblW w:w="4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1947"/>
        <w:gridCol w:w="5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6" w:hRule="atLeast"/>
          <w:jc w:val="center"/>
        </w:trPr>
        <w:tc>
          <w:tcPr>
            <w:tcW w:w="810" w:type="pct"/>
            <w:shd w:val="clear" w:color="auto" w:fill="auto"/>
            <w:vAlign w:val="center"/>
          </w:tcPr>
          <w:p>
            <w:pPr>
              <w:rPr>
                <w:rFonts w:hint="eastAsia" w:ascii="仿宋_GB2312" w:eastAsia="仿宋_GB2312" w:cs="仿宋_GB2312"/>
                <w:sz w:val="21"/>
                <w:szCs w:val="21"/>
              </w:rPr>
            </w:pPr>
            <w:r>
              <w:rPr>
                <w:rFonts w:hint="eastAsia" w:ascii="仿宋_GB2312" w:eastAsia="仿宋_GB2312" w:cs="仿宋_GB2312"/>
                <w:sz w:val="21"/>
                <w:szCs w:val="21"/>
              </w:rPr>
              <w:t>主机运维服务</w:t>
            </w:r>
          </w:p>
        </w:tc>
        <w:tc>
          <w:tcPr>
            <w:tcW w:w="1173" w:type="pct"/>
            <w:shd w:val="clear" w:color="auto" w:fill="auto"/>
            <w:vAlign w:val="center"/>
          </w:tcPr>
          <w:p>
            <w:pPr>
              <w:rPr>
                <w:rFonts w:hint="eastAsia" w:ascii="仿宋_GB2312" w:eastAsia="仿宋_GB2312" w:cs="仿宋_GB2312"/>
                <w:sz w:val="21"/>
                <w:szCs w:val="21"/>
              </w:rPr>
            </w:pPr>
            <w:r>
              <w:rPr>
                <w:rFonts w:hint="eastAsia" w:ascii="仿宋_GB2312" w:eastAsia="仿宋_GB2312" w:cs="仿宋_GB2312"/>
                <w:sz w:val="21"/>
                <w:szCs w:val="21"/>
              </w:rPr>
              <w:t>主机系统调优</w:t>
            </w:r>
          </w:p>
        </w:tc>
        <w:tc>
          <w:tcPr>
            <w:tcW w:w="3016" w:type="pct"/>
            <w:shd w:val="clear" w:color="auto" w:fill="auto"/>
            <w:vAlign w:val="center"/>
          </w:tcPr>
          <w:p>
            <w:r>
              <w:rPr>
                <w:rFonts w:hint="eastAsia" w:ascii="仿宋_GB2312" w:eastAsia="仿宋_GB2312" w:cs="仿宋_GB2312"/>
                <w:sz w:val="21"/>
                <w:szCs w:val="21"/>
              </w:rPr>
              <w:t>根据客户服务器环境所存在的问题与隐患，制定合理的优化实施方案，协助客户在预定的时间窗口内完成优化实施，并确保实施过程安全合理、风险可控。</w:t>
            </w:r>
          </w:p>
        </w:tc>
      </w:tr>
    </w:tbl>
    <w:p>
      <w:bookmarkStart w:id="5" w:name="_Toc524533890"/>
    </w:p>
    <w:p>
      <w:pPr>
        <w:pStyle w:val="6"/>
        <w:bidi w:val="0"/>
        <w:rPr>
          <w:rFonts w:hint="eastAsia" w:ascii="仿宋_GB2312" w:eastAsia="仿宋_GB2312" w:cs="仿宋_GB2312"/>
          <w:b/>
          <w:bCs/>
          <w:kern w:val="2"/>
          <w:sz w:val="28"/>
          <w:szCs w:val="28"/>
          <w:lang w:val="en-US" w:eastAsia="zh-CN" w:bidi="ar-SA"/>
        </w:rPr>
      </w:pPr>
      <w:r>
        <w:rPr>
          <w:rFonts w:hint="eastAsia" w:ascii="仿宋_GB2312" w:eastAsia="仿宋_GB2312" w:cs="仿宋_GB2312"/>
          <w:b/>
          <w:bCs/>
          <w:kern w:val="2"/>
          <w:sz w:val="28"/>
          <w:szCs w:val="28"/>
          <w:lang w:val="en-US" w:eastAsia="zh-CN" w:bidi="ar-SA"/>
        </w:rPr>
        <w:t>（2）软件运维服务</w:t>
      </w:r>
      <w:bookmarkEnd w:id="5"/>
    </w:p>
    <w:tbl>
      <w:tblPr>
        <w:tblStyle w:val="12"/>
        <w:tblW w:w="47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4"/>
        <w:gridCol w:w="1881"/>
        <w:gridCol w:w="4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1" w:hRule="atLeast"/>
          <w:jc w:val="center"/>
        </w:trPr>
        <w:tc>
          <w:tcPr>
            <w:tcW w:w="813" w:type="pct"/>
            <w:vMerge w:val="restart"/>
            <w:shd w:val="clear" w:color="auto" w:fill="auto"/>
            <w:vAlign w:val="center"/>
          </w:tcPr>
          <w:p>
            <w:pPr>
              <w:rPr>
                <w:rFonts w:hint="eastAsia" w:ascii="仿宋_GB2312" w:eastAsia="仿宋_GB2312" w:cs="仿宋_GB2312"/>
                <w:sz w:val="21"/>
                <w:szCs w:val="21"/>
              </w:rPr>
            </w:pPr>
            <w:r>
              <w:rPr>
                <w:rFonts w:hint="eastAsia" w:ascii="仿宋_GB2312" w:eastAsia="仿宋_GB2312" w:cs="仿宋_GB2312"/>
                <w:sz w:val="21"/>
                <w:szCs w:val="21"/>
              </w:rPr>
              <w:t>基础软件运维服务</w:t>
            </w:r>
          </w:p>
        </w:tc>
        <w:tc>
          <w:tcPr>
            <w:tcW w:w="1173" w:type="pct"/>
            <w:shd w:val="clear" w:color="auto" w:fill="auto"/>
            <w:vAlign w:val="center"/>
          </w:tcPr>
          <w:p>
            <w:pPr>
              <w:rPr>
                <w:rFonts w:hint="eastAsia" w:ascii="仿宋_GB2312" w:eastAsia="仿宋_GB2312" w:cs="仿宋_GB2312"/>
                <w:sz w:val="21"/>
                <w:szCs w:val="21"/>
              </w:rPr>
            </w:pPr>
            <w:r>
              <w:rPr>
                <w:rFonts w:hint="eastAsia" w:ascii="仿宋_GB2312" w:eastAsia="仿宋_GB2312" w:cs="仿宋_GB2312"/>
                <w:sz w:val="21"/>
                <w:szCs w:val="21"/>
              </w:rPr>
              <w:t>基础软件基础运维</w:t>
            </w:r>
          </w:p>
        </w:tc>
        <w:tc>
          <w:tcPr>
            <w:tcW w:w="3013" w:type="pct"/>
            <w:shd w:val="clear" w:color="auto" w:fill="auto"/>
            <w:vAlign w:val="center"/>
          </w:tcPr>
          <w:p>
            <w:pPr>
              <w:rPr>
                <w:rFonts w:hint="eastAsia" w:ascii="仿宋_GB2312" w:eastAsia="仿宋_GB2312" w:cs="仿宋_GB2312"/>
                <w:sz w:val="21"/>
                <w:szCs w:val="21"/>
              </w:rPr>
            </w:pPr>
            <w:r>
              <w:rPr>
                <w:rFonts w:hint="eastAsia" w:ascii="仿宋_GB2312" w:eastAsia="仿宋_GB2312" w:cs="仿宋_GB2312"/>
                <w:sz w:val="21"/>
                <w:szCs w:val="21"/>
              </w:rPr>
              <w:t>通过对各类基础软件进行巡检与监控，及时发现并处理各类故障和隐患，确保各类基础软件安全稳定运行；同时，对客户提出的各类基础软件变更需求（譬如：参数调整、权限配置、补丁升级、日常管理等）进行积极响应，保证客户基础软件环境的稳定、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2" w:hRule="atLeast"/>
          <w:jc w:val="center"/>
        </w:trPr>
        <w:tc>
          <w:tcPr>
            <w:tcW w:w="813" w:type="pct"/>
            <w:vMerge w:val="continue"/>
            <w:shd w:val="clear" w:color="auto" w:fill="auto"/>
            <w:vAlign w:val="center"/>
          </w:tcPr>
          <w:p>
            <w:pPr>
              <w:rPr>
                <w:rFonts w:hint="eastAsia" w:ascii="仿宋_GB2312" w:eastAsia="仿宋_GB2312" w:cs="仿宋_GB2312"/>
                <w:sz w:val="21"/>
                <w:szCs w:val="21"/>
              </w:rPr>
            </w:pPr>
          </w:p>
        </w:tc>
        <w:tc>
          <w:tcPr>
            <w:tcW w:w="1173" w:type="pct"/>
            <w:shd w:val="clear" w:color="auto" w:fill="auto"/>
            <w:vAlign w:val="center"/>
          </w:tcPr>
          <w:p>
            <w:pPr>
              <w:rPr>
                <w:rFonts w:hint="eastAsia" w:ascii="仿宋_GB2312" w:eastAsia="仿宋_GB2312" w:cs="仿宋_GB2312"/>
                <w:sz w:val="21"/>
                <w:szCs w:val="21"/>
              </w:rPr>
            </w:pPr>
            <w:r>
              <w:rPr>
                <w:rFonts w:hint="eastAsia" w:ascii="仿宋_GB2312" w:eastAsia="仿宋_GB2312" w:cs="仿宋_GB2312"/>
                <w:sz w:val="21"/>
                <w:szCs w:val="21"/>
              </w:rPr>
              <w:t>基础软件系统评估</w:t>
            </w:r>
          </w:p>
        </w:tc>
        <w:tc>
          <w:tcPr>
            <w:tcW w:w="3013" w:type="pct"/>
            <w:shd w:val="clear" w:color="auto" w:fill="auto"/>
            <w:vAlign w:val="center"/>
          </w:tcPr>
          <w:p>
            <w:pPr>
              <w:rPr>
                <w:rFonts w:hint="eastAsia" w:ascii="仿宋_GB2312" w:eastAsia="仿宋_GB2312" w:cs="仿宋_GB2312"/>
                <w:sz w:val="21"/>
                <w:szCs w:val="21"/>
              </w:rPr>
            </w:pPr>
            <w:r>
              <w:rPr>
                <w:rFonts w:hint="eastAsia" w:ascii="仿宋_GB2312" w:eastAsia="仿宋_GB2312" w:cs="仿宋_GB2312"/>
                <w:sz w:val="21"/>
                <w:szCs w:val="21"/>
              </w:rPr>
              <w:t>通过对各类基础软件开展监控数据分析、配置审计、架构梳理等服务，全面评估基础软件的健康状况，包括但不限于：系统容量、性能状况、配置合理性及有效性，故障历史、系统架构等方面，让客户全面了解其基础软件所存在的问题与隐患、并给出改进建议，为日后优化改造奠定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2" w:hRule="atLeast"/>
          <w:jc w:val="center"/>
        </w:trPr>
        <w:tc>
          <w:tcPr>
            <w:tcW w:w="813" w:type="pct"/>
            <w:vMerge w:val="continue"/>
            <w:tcBorders>
              <w:bottom w:val="single" w:color="auto" w:sz="4" w:space="0"/>
            </w:tcBorders>
            <w:shd w:val="clear" w:color="auto" w:fill="auto"/>
            <w:vAlign w:val="center"/>
          </w:tcPr>
          <w:p>
            <w:pPr>
              <w:rPr>
                <w:rFonts w:hint="eastAsia" w:ascii="仿宋_GB2312" w:eastAsia="仿宋_GB2312" w:cs="仿宋_GB2312"/>
                <w:sz w:val="21"/>
                <w:szCs w:val="21"/>
              </w:rPr>
            </w:pPr>
          </w:p>
        </w:tc>
        <w:tc>
          <w:tcPr>
            <w:tcW w:w="1173" w:type="pct"/>
            <w:tcBorders>
              <w:bottom w:val="single" w:color="auto" w:sz="4" w:space="0"/>
            </w:tcBorders>
            <w:shd w:val="clear" w:color="auto" w:fill="auto"/>
            <w:vAlign w:val="center"/>
          </w:tcPr>
          <w:p>
            <w:pPr>
              <w:rPr>
                <w:rFonts w:hint="eastAsia" w:ascii="仿宋_GB2312" w:eastAsia="仿宋_GB2312" w:cs="仿宋_GB2312"/>
                <w:sz w:val="21"/>
                <w:szCs w:val="21"/>
              </w:rPr>
            </w:pPr>
            <w:r>
              <w:rPr>
                <w:rFonts w:hint="eastAsia" w:ascii="仿宋_GB2312" w:eastAsia="仿宋_GB2312" w:cs="仿宋_GB2312"/>
                <w:sz w:val="21"/>
                <w:szCs w:val="21"/>
              </w:rPr>
              <w:t>基础软件系统调优</w:t>
            </w:r>
          </w:p>
        </w:tc>
        <w:tc>
          <w:tcPr>
            <w:tcW w:w="3013" w:type="pct"/>
            <w:shd w:val="clear" w:color="auto" w:fill="auto"/>
            <w:vAlign w:val="center"/>
          </w:tcPr>
          <w:p>
            <w:pPr>
              <w:rPr>
                <w:rFonts w:hint="eastAsia" w:ascii="仿宋_GB2312" w:eastAsia="仿宋_GB2312" w:cs="仿宋_GB2312"/>
                <w:sz w:val="21"/>
                <w:szCs w:val="21"/>
              </w:rPr>
            </w:pPr>
            <w:r>
              <w:rPr>
                <w:rFonts w:hint="eastAsia" w:ascii="仿宋_GB2312" w:eastAsia="仿宋_GB2312" w:cs="仿宋_GB2312"/>
                <w:sz w:val="21"/>
                <w:szCs w:val="21"/>
              </w:rPr>
              <w:t>根据客户基础软件所存在的问题与隐患，制定合理的优化实施方案，协助客户在预定的时间窗口内完成优化实施，并确保实施过程安全合理、风险可控。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9" w:hRule="atLeast"/>
          <w:jc w:val="center"/>
        </w:trPr>
        <w:tc>
          <w:tcPr>
            <w:tcW w:w="813"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eastAsia="仿宋_GB2312" w:cs="仿宋_GB2312"/>
                <w:sz w:val="21"/>
                <w:szCs w:val="21"/>
              </w:rPr>
            </w:pPr>
            <w:r>
              <w:rPr>
                <w:rFonts w:hint="eastAsia" w:ascii="仿宋_GB2312" w:eastAsia="仿宋_GB2312" w:cs="仿宋_GB2312"/>
                <w:sz w:val="21"/>
                <w:szCs w:val="21"/>
              </w:rPr>
              <w:t>应用软件运维服务</w:t>
            </w:r>
          </w:p>
        </w:tc>
        <w:tc>
          <w:tcPr>
            <w:tcW w:w="1173"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eastAsia="仿宋_GB2312" w:cs="仿宋_GB2312"/>
                <w:sz w:val="21"/>
                <w:szCs w:val="21"/>
              </w:rPr>
            </w:pPr>
            <w:r>
              <w:rPr>
                <w:rFonts w:hint="eastAsia" w:ascii="仿宋_GB2312" w:eastAsia="仿宋_GB2312" w:cs="仿宋_GB2312"/>
                <w:sz w:val="21"/>
                <w:szCs w:val="21"/>
              </w:rPr>
              <w:t>应用软件基础运维</w:t>
            </w:r>
          </w:p>
        </w:tc>
        <w:tc>
          <w:tcPr>
            <w:tcW w:w="3013" w:type="pct"/>
            <w:tcBorders>
              <w:left w:val="single" w:color="auto" w:sz="4" w:space="0"/>
            </w:tcBorders>
            <w:shd w:val="clear" w:color="auto" w:fill="auto"/>
            <w:vAlign w:val="center"/>
          </w:tcPr>
          <w:p>
            <w:pPr>
              <w:rPr>
                <w:rFonts w:hint="eastAsia" w:ascii="仿宋_GB2312" w:eastAsia="仿宋_GB2312" w:cs="仿宋_GB2312"/>
                <w:sz w:val="21"/>
                <w:szCs w:val="21"/>
              </w:rPr>
            </w:pPr>
            <w:r>
              <w:rPr>
                <w:rFonts w:hint="eastAsia" w:ascii="仿宋_GB2312" w:eastAsia="仿宋_GB2312" w:cs="仿宋_GB2312"/>
                <w:sz w:val="21"/>
                <w:szCs w:val="21"/>
              </w:rPr>
              <w:t>通过对应用软件进行巡检与监控，及时发现并处理各类故障和隐患，确保应用软件安全稳定运行；同时，对客户提出的应用软件基础变更需求（譬如：用户权限配置、日常管理等）进行积极响应，保证客户应用软件环境的稳定、可靠。</w:t>
            </w:r>
          </w:p>
        </w:tc>
      </w:tr>
    </w:tbl>
    <w:p>
      <w:bookmarkStart w:id="6" w:name="_Toc524533891"/>
    </w:p>
    <w:p>
      <w:pPr>
        <w:pStyle w:val="6"/>
        <w:bidi w:val="0"/>
        <w:rPr>
          <w:rFonts w:hint="eastAsia" w:ascii="仿宋_GB2312" w:eastAsia="仿宋_GB2312" w:cs="仿宋_GB2312"/>
          <w:b/>
          <w:bCs/>
          <w:kern w:val="2"/>
          <w:sz w:val="28"/>
          <w:szCs w:val="28"/>
          <w:lang w:val="en-US" w:eastAsia="zh-CN" w:bidi="ar-SA"/>
        </w:rPr>
      </w:pPr>
      <w:r>
        <w:rPr>
          <w:rFonts w:hint="eastAsia" w:ascii="仿宋_GB2312" w:eastAsia="仿宋_GB2312" w:cs="仿宋_GB2312"/>
          <w:b/>
          <w:bCs/>
          <w:kern w:val="2"/>
          <w:sz w:val="28"/>
          <w:szCs w:val="28"/>
          <w:lang w:val="en-US" w:eastAsia="zh-CN" w:bidi="ar-SA"/>
        </w:rPr>
        <w:t>（3）安全运维服务</w:t>
      </w:r>
      <w:bookmarkEnd w:id="6"/>
    </w:p>
    <w:tbl>
      <w:tblPr>
        <w:tblStyle w:val="12"/>
        <w:tblW w:w="47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4"/>
        <w:gridCol w:w="1880"/>
        <w:gridCol w:w="4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2" w:hRule="atLeast"/>
          <w:jc w:val="center"/>
        </w:trPr>
        <w:tc>
          <w:tcPr>
            <w:tcW w:w="813" w:type="pct"/>
            <w:vMerge w:val="restart"/>
            <w:shd w:val="clear" w:color="auto" w:fill="auto"/>
            <w:vAlign w:val="center"/>
          </w:tcPr>
          <w:p>
            <w:pPr>
              <w:rPr>
                <w:rFonts w:hint="eastAsia" w:ascii="仿宋_GB2312" w:eastAsia="仿宋_GB2312" w:cs="仿宋_GB2312"/>
                <w:sz w:val="21"/>
                <w:szCs w:val="21"/>
              </w:rPr>
            </w:pPr>
            <w:r>
              <w:rPr>
                <w:rFonts w:hint="eastAsia" w:ascii="仿宋_GB2312" w:eastAsia="仿宋_GB2312" w:cs="仿宋_GB2312"/>
                <w:sz w:val="21"/>
                <w:szCs w:val="21"/>
              </w:rPr>
              <w:t>安全运维服务</w:t>
            </w:r>
          </w:p>
        </w:tc>
        <w:tc>
          <w:tcPr>
            <w:tcW w:w="1172" w:type="pct"/>
            <w:shd w:val="clear" w:color="auto" w:fill="auto"/>
            <w:vAlign w:val="center"/>
          </w:tcPr>
          <w:p>
            <w:pPr>
              <w:rPr>
                <w:rFonts w:hint="eastAsia" w:ascii="仿宋_GB2312" w:eastAsia="仿宋_GB2312" w:cs="仿宋_GB2312"/>
                <w:sz w:val="21"/>
                <w:szCs w:val="21"/>
              </w:rPr>
            </w:pPr>
            <w:r>
              <w:rPr>
                <w:rFonts w:hint="eastAsia" w:ascii="仿宋_GB2312" w:eastAsia="仿宋_GB2312" w:cs="仿宋_GB2312"/>
                <w:sz w:val="21"/>
                <w:szCs w:val="21"/>
              </w:rPr>
              <w:t>应急演练服务</w:t>
            </w:r>
          </w:p>
        </w:tc>
        <w:tc>
          <w:tcPr>
            <w:tcW w:w="3013" w:type="pct"/>
            <w:shd w:val="clear" w:color="auto" w:fill="auto"/>
            <w:vAlign w:val="center"/>
          </w:tcPr>
          <w:p>
            <w:pPr>
              <w:rPr>
                <w:rFonts w:hint="eastAsia" w:ascii="仿宋_GB2312" w:eastAsia="仿宋_GB2312" w:cs="仿宋_GB2312"/>
                <w:sz w:val="21"/>
                <w:szCs w:val="21"/>
              </w:rPr>
            </w:pPr>
            <w:r>
              <w:rPr>
                <w:rFonts w:hint="eastAsia" w:ascii="仿宋_GB2312" w:eastAsia="仿宋_GB2312" w:cs="仿宋_GB2312"/>
                <w:sz w:val="21"/>
                <w:szCs w:val="21"/>
              </w:rPr>
              <w:t>通过模拟各种突发故障或事故场景，验证客户IT基础环境高可用配置、数据备份、容灾配置等的有效性和合理性；同时，协助客户优化应急响应方案与流程，提升客户应对各类突发事故的处理能力。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7" w:hRule="atLeast"/>
          <w:jc w:val="center"/>
        </w:trPr>
        <w:tc>
          <w:tcPr>
            <w:tcW w:w="813" w:type="pct"/>
            <w:vMerge w:val="continue"/>
            <w:shd w:val="clear" w:color="auto" w:fill="auto"/>
            <w:vAlign w:val="center"/>
          </w:tcPr>
          <w:p>
            <w:pPr>
              <w:rPr>
                <w:rFonts w:hint="eastAsia" w:ascii="仿宋_GB2312" w:eastAsia="仿宋_GB2312" w:cs="仿宋_GB2312"/>
                <w:sz w:val="21"/>
                <w:szCs w:val="21"/>
              </w:rPr>
            </w:pPr>
          </w:p>
        </w:tc>
        <w:tc>
          <w:tcPr>
            <w:tcW w:w="1172" w:type="pct"/>
            <w:shd w:val="clear" w:color="auto" w:fill="auto"/>
            <w:vAlign w:val="center"/>
          </w:tcPr>
          <w:p>
            <w:pPr>
              <w:rPr>
                <w:rFonts w:hint="eastAsia" w:ascii="仿宋_GB2312" w:eastAsia="仿宋_GB2312" w:cs="仿宋_GB2312"/>
                <w:sz w:val="21"/>
                <w:szCs w:val="21"/>
              </w:rPr>
            </w:pPr>
            <w:r>
              <w:rPr>
                <w:rFonts w:hint="eastAsia" w:ascii="仿宋_GB2312" w:eastAsia="仿宋_GB2312" w:cs="仿宋_GB2312"/>
                <w:sz w:val="21"/>
                <w:szCs w:val="21"/>
              </w:rPr>
              <w:t>安全加固服务</w:t>
            </w:r>
          </w:p>
        </w:tc>
        <w:tc>
          <w:tcPr>
            <w:tcW w:w="3013" w:type="pct"/>
            <w:shd w:val="clear" w:color="auto" w:fill="auto"/>
            <w:vAlign w:val="center"/>
          </w:tcPr>
          <w:p>
            <w:pPr>
              <w:rPr>
                <w:rFonts w:hint="eastAsia" w:ascii="仿宋_GB2312" w:eastAsia="仿宋_GB2312" w:cs="仿宋_GB2312"/>
                <w:sz w:val="21"/>
                <w:szCs w:val="21"/>
              </w:rPr>
            </w:pPr>
            <w:r>
              <w:rPr>
                <w:rFonts w:hint="eastAsia" w:ascii="仿宋_GB2312" w:eastAsia="仿宋_GB2312" w:cs="仿宋_GB2312"/>
                <w:sz w:val="21"/>
                <w:szCs w:val="21"/>
              </w:rPr>
              <w:t>根据信息资产安全评估所发现各类漏洞、风险、隐患、不合规项，协助客户完成安全加固方案实施（包括：漏洞修复、补丁安装、修改配置及权限等）、优化信息安全管理策略、优化信息安全应急机制。</w:t>
            </w:r>
          </w:p>
        </w:tc>
      </w:tr>
    </w:tbl>
    <w:p>
      <w:bookmarkStart w:id="7" w:name="_Toc524533892"/>
    </w:p>
    <w:p>
      <w:pPr>
        <w:pStyle w:val="6"/>
        <w:bidi w:val="0"/>
        <w:rPr>
          <w:rFonts w:hint="eastAsia" w:ascii="仿宋_GB2312" w:eastAsia="仿宋_GB2312" w:cs="仿宋_GB2312"/>
          <w:b/>
          <w:bCs/>
          <w:kern w:val="2"/>
          <w:sz w:val="28"/>
          <w:szCs w:val="28"/>
          <w:lang w:val="en-US" w:eastAsia="zh-CN" w:bidi="ar-SA"/>
        </w:rPr>
      </w:pPr>
      <w:r>
        <w:rPr>
          <w:rFonts w:hint="eastAsia" w:ascii="仿宋_GB2312" w:eastAsia="仿宋_GB2312" w:cs="仿宋_GB2312"/>
          <w:b/>
          <w:bCs/>
          <w:kern w:val="2"/>
          <w:sz w:val="28"/>
          <w:szCs w:val="28"/>
          <w:lang w:val="en-US" w:eastAsia="zh-CN" w:bidi="ar-SA"/>
        </w:rPr>
        <w:t>（4）其他运维服务</w:t>
      </w:r>
      <w:bookmarkEnd w:id="7"/>
    </w:p>
    <w:tbl>
      <w:tblPr>
        <w:tblStyle w:val="12"/>
        <w:tblW w:w="47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7"/>
        <w:gridCol w:w="1886"/>
        <w:gridCol w:w="4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atLeast"/>
          <w:jc w:val="center"/>
        </w:trPr>
        <w:tc>
          <w:tcPr>
            <w:tcW w:w="813" w:type="pct"/>
            <w:vMerge w:val="restart"/>
            <w:shd w:val="clear" w:color="auto" w:fill="auto"/>
            <w:vAlign w:val="center"/>
          </w:tcPr>
          <w:p>
            <w:pPr>
              <w:rPr>
                <w:rFonts w:hint="eastAsia" w:ascii="仿宋_GB2312" w:eastAsia="仿宋_GB2312" w:cs="仿宋_GB2312"/>
                <w:sz w:val="21"/>
                <w:szCs w:val="21"/>
              </w:rPr>
            </w:pPr>
            <w:r>
              <w:rPr>
                <w:rFonts w:hint="eastAsia" w:ascii="仿宋_GB2312" w:eastAsia="仿宋_GB2312" w:cs="仿宋_GB2312"/>
                <w:sz w:val="21"/>
                <w:szCs w:val="21"/>
              </w:rPr>
              <w:t>其它运维服务</w:t>
            </w:r>
          </w:p>
        </w:tc>
        <w:tc>
          <w:tcPr>
            <w:tcW w:w="1173" w:type="pct"/>
            <w:shd w:val="clear" w:color="auto" w:fill="auto"/>
            <w:vAlign w:val="center"/>
          </w:tcPr>
          <w:p>
            <w:pPr>
              <w:rPr>
                <w:rFonts w:hint="eastAsia" w:ascii="仿宋_GB2312" w:eastAsia="仿宋_GB2312" w:cs="仿宋_GB2312"/>
                <w:sz w:val="21"/>
                <w:szCs w:val="21"/>
              </w:rPr>
            </w:pPr>
            <w:r>
              <w:rPr>
                <w:rFonts w:hint="eastAsia" w:ascii="仿宋_GB2312" w:eastAsia="仿宋_GB2312" w:cs="仿宋_GB2312"/>
                <w:sz w:val="21"/>
                <w:szCs w:val="21"/>
              </w:rPr>
              <w:t>系统迁移服务</w:t>
            </w:r>
          </w:p>
        </w:tc>
        <w:tc>
          <w:tcPr>
            <w:tcW w:w="3013" w:type="pct"/>
            <w:shd w:val="clear" w:color="auto" w:fill="auto"/>
            <w:vAlign w:val="center"/>
          </w:tcPr>
          <w:p>
            <w:pPr>
              <w:rPr>
                <w:rFonts w:hint="eastAsia" w:ascii="仿宋_GB2312" w:eastAsia="仿宋_GB2312" w:cs="仿宋_GB2312"/>
                <w:sz w:val="21"/>
                <w:szCs w:val="21"/>
              </w:rPr>
            </w:pPr>
            <w:r>
              <w:rPr>
                <w:rFonts w:hint="eastAsia" w:ascii="仿宋_GB2312" w:eastAsia="仿宋_GB2312" w:cs="仿宋_GB2312"/>
                <w:sz w:val="21"/>
                <w:szCs w:val="21"/>
              </w:rPr>
              <w:t>协助客户完成现有业务系统的整体迁移，包括但不限于：设备搬迁、新环境架构设计与搭建、原生产数据保护与迁移、目标系统调优及快速上线等工作。通过“系统迁移服务”，协助客户安全、快速地完成业务系统新老环境的更替、提升信息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2" w:hRule="atLeast"/>
          <w:jc w:val="center"/>
        </w:trPr>
        <w:tc>
          <w:tcPr>
            <w:tcW w:w="813" w:type="pct"/>
            <w:vMerge w:val="continue"/>
            <w:shd w:val="clear" w:color="auto" w:fill="auto"/>
            <w:vAlign w:val="center"/>
          </w:tcPr>
          <w:p>
            <w:pPr>
              <w:rPr>
                <w:rFonts w:hint="eastAsia" w:ascii="仿宋_GB2312" w:eastAsia="仿宋_GB2312" w:cs="仿宋_GB2312"/>
                <w:sz w:val="21"/>
                <w:szCs w:val="21"/>
              </w:rPr>
            </w:pPr>
          </w:p>
        </w:tc>
        <w:tc>
          <w:tcPr>
            <w:tcW w:w="1173" w:type="pct"/>
            <w:shd w:val="clear" w:color="auto" w:fill="auto"/>
            <w:vAlign w:val="center"/>
          </w:tcPr>
          <w:p>
            <w:pPr>
              <w:rPr>
                <w:rFonts w:hint="eastAsia" w:ascii="仿宋_GB2312" w:eastAsia="仿宋_GB2312" w:cs="仿宋_GB2312"/>
                <w:sz w:val="21"/>
                <w:szCs w:val="21"/>
              </w:rPr>
            </w:pPr>
            <w:r>
              <w:rPr>
                <w:rFonts w:hint="eastAsia" w:ascii="仿宋_GB2312" w:eastAsia="仿宋_GB2312" w:cs="仿宋_GB2312"/>
                <w:sz w:val="21"/>
                <w:szCs w:val="21"/>
              </w:rPr>
              <w:t>数据库版本升级服务</w:t>
            </w:r>
          </w:p>
        </w:tc>
        <w:tc>
          <w:tcPr>
            <w:tcW w:w="3013" w:type="pct"/>
            <w:shd w:val="clear" w:color="auto" w:fill="auto"/>
            <w:vAlign w:val="center"/>
          </w:tcPr>
          <w:p>
            <w:pPr>
              <w:rPr>
                <w:rFonts w:hint="eastAsia" w:ascii="仿宋_GB2312" w:eastAsia="仿宋_GB2312" w:cs="仿宋_GB2312"/>
                <w:sz w:val="21"/>
                <w:szCs w:val="21"/>
              </w:rPr>
            </w:pPr>
            <w:r>
              <w:rPr>
                <w:rFonts w:hint="eastAsia" w:ascii="仿宋_GB2312" w:eastAsia="仿宋_GB2312" w:cs="仿宋_GB2312"/>
                <w:sz w:val="21"/>
                <w:szCs w:val="21"/>
              </w:rPr>
              <w:t>协助客户完成对原有老旧数据库软件进行版本升级，确保升级过程稳妥有序、数据安全无丢失；升级后数据库可快速投入服务，对应用系统影响降至最低。</w:t>
            </w:r>
          </w:p>
        </w:tc>
      </w:tr>
    </w:tbl>
    <w:p/>
    <w:p>
      <w:pPr>
        <w:pStyle w:val="7"/>
        <w:numPr>
          <w:ilvl w:val="0"/>
          <w:numId w:val="1"/>
        </w:numPr>
        <w:tabs>
          <w:tab w:val="left" w:pos="540"/>
        </w:tabs>
        <w:adjustRightInd w:val="0"/>
        <w:snapToGrid w:val="0"/>
        <w:spacing w:line="360" w:lineRule="auto"/>
        <w:rPr>
          <w:rFonts w:hint="eastAsia" w:ascii="仿宋_GB2312" w:eastAsia="仿宋_GB2312" w:cs="仿宋_GB2312" w:hAnsiTheme="minorHAnsi"/>
          <w:b/>
          <w:bCs/>
          <w:kern w:val="2"/>
          <w:sz w:val="32"/>
          <w:szCs w:val="32"/>
          <w:lang w:val="af-ZA" w:eastAsia="zh-CN" w:bidi="ar-SA"/>
        </w:rPr>
      </w:pPr>
      <w:r>
        <w:rPr>
          <w:rFonts w:hint="eastAsia" w:ascii="仿宋_GB2312" w:eastAsia="仿宋_GB2312" w:cs="仿宋_GB2312" w:hAnsiTheme="minorHAnsi"/>
          <w:b/>
          <w:bCs/>
          <w:kern w:val="2"/>
          <w:sz w:val="32"/>
          <w:szCs w:val="32"/>
          <w:lang w:val="af-ZA" w:eastAsia="zh-CN" w:bidi="ar-SA"/>
        </w:rPr>
        <w:t>商务要求：</w:t>
      </w:r>
    </w:p>
    <w:p>
      <w:pPr>
        <w:pStyle w:val="7"/>
        <w:tabs>
          <w:tab w:val="left" w:pos="540"/>
        </w:tabs>
        <w:adjustRightInd w:val="0"/>
        <w:snapToGrid w:val="0"/>
        <w:spacing w:line="360" w:lineRule="auto"/>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1、售后要求</w:t>
      </w:r>
    </w:p>
    <w:p>
      <w:pPr>
        <w:pStyle w:val="7"/>
        <w:tabs>
          <w:tab w:val="left" w:pos="540"/>
        </w:tabs>
        <w:adjustRightInd w:val="0"/>
        <w:snapToGrid w:val="0"/>
        <w:spacing w:line="360" w:lineRule="auto"/>
        <w:ind w:firstLine="640" w:firstLineChars="200"/>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hAnsiTheme="minorHAnsi"/>
          <w:kern w:val="2"/>
          <w:sz w:val="32"/>
          <w:szCs w:val="32"/>
          <w:lang w:val="en-US" w:eastAsia="zh-CN" w:bidi="ar-SA"/>
        </w:rPr>
        <w:t>供应商必须向采购人提供OA维保、培训和维护服务的全部内容。若本标书中所采购的产品等方面的配置或要求中出现不合理或不完整的问题时，供应商有责任和义务在投标书中提出补充修改方案并征得本项目单位同意后付诸实施。</w:t>
      </w:r>
    </w:p>
    <w:p>
      <w:pPr>
        <w:adjustRightInd w:val="0"/>
        <w:snapToGrid w:val="0"/>
        <w:spacing w:line="360" w:lineRule="auto"/>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kern w:val="2"/>
          <w:sz w:val="32"/>
          <w:szCs w:val="32"/>
          <w:lang w:val="en-US" w:eastAsia="zh-CN" w:bidi="ar-SA"/>
        </w:rPr>
        <w:t>2</w:t>
      </w:r>
      <w:r>
        <w:rPr>
          <w:rFonts w:hint="eastAsia" w:ascii="仿宋_GB2312" w:eastAsia="仿宋_GB2312" w:cs="仿宋_GB2312" w:hAnsiTheme="minorHAnsi"/>
          <w:kern w:val="2"/>
          <w:sz w:val="32"/>
          <w:szCs w:val="32"/>
          <w:lang w:val="en-US" w:eastAsia="zh-CN" w:bidi="ar-SA"/>
        </w:rPr>
        <w:t>、付款方式：</w:t>
      </w:r>
    </w:p>
    <w:p>
      <w:pPr>
        <w:adjustRightInd w:val="0"/>
        <w:snapToGrid w:val="0"/>
        <w:spacing w:line="360" w:lineRule="auto"/>
        <w:rPr>
          <w:rFonts w:hint="eastAsia" w:ascii="仿宋_GB2312" w:eastAsia="仿宋_GB2312" w:cs="仿宋_GB2312" w:hAnsiTheme="minorHAnsi"/>
          <w:kern w:val="2"/>
          <w:sz w:val="32"/>
          <w:szCs w:val="32"/>
          <w:lang w:val="en-US" w:eastAsia="zh-CN" w:bidi="ar-SA"/>
        </w:rPr>
      </w:pPr>
      <w:r>
        <w:rPr>
          <w:rFonts w:hint="eastAsia" w:ascii="仿宋_GB2312" w:eastAsia="仿宋_GB2312" w:cs="仿宋_GB2312"/>
          <w:kern w:val="2"/>
          <w:sz w:val="32"/>
          <w:szCs w:val="32"/>
          <w:lang w:val="en-US" w:eastAsia="zh-CN" w:bidi="ar-SA"/>
        </w:rPr>
        <w:t>2</w:t>
      </w:r>
      <w:r>
        <w:rPr>
          <w:rFonts w:hint="eastAsia" w:ascii="仿宋_GB2312" w:eastAsia="仿宋_GB2312" w:cs="仿宋_GB2312" w:hAnsiTheme="minorHAnsi"/>
          <w:kern w:val="2"/>
          <w:sz w:val="32"/>
          <w:szCs w:val="32"/>
          <w:lang w:val="en-US" w:eastAsia="zh-CN" w:bidi="ar-SA"/>
        </w:rPr>
        <w:t>.1.支付方式：转帐支付</w:t>
      </w:r>
    </w:p>
    <w:p>
      <w:r>
        <w:rPr>
          <w:rFonts w:hint="eastAsia" w:ascii="仿宋_GB2312" w:eastAsia="仿宋_GB2312" w:cs="仿宋_GB2312"/>
          <w:kern w:val="2"/>
          <w:sz w:val="32"/>
          <w:szCs w:val="32"/>
          <w:lang w:val="en-US" w:eastAsia="zh-CN" w:bidi="ar-SA"/>
        </w:rPr>
        <w:t>2</w:t>
      </w:r>
      <w:r>
        <w:rPr>
          <w:rFonts w:hint="eastAsia" w:ascii="仿宋_GB2312" w:eastAsia="仿宋_GB2312" w:cs="仿宋_GB2312" w:hAnsiTheme="minorHAnsi"/>
          <w:kern w:val="2"/>
          <w:sz w:val="32"/>
          <w:szCs w:val="32"/>
          <w:lang w:val="en-US" w:eastAsia="zh-CN" w:bidi="ar-SA"/>
        </w:rPr>
        <w:t>.2合同签署后，</w:t>
      </w:r>
      <w:r>
        <w:rPr>
          <w:rFonts w:hint="eastAsia" w:ascii="仿宋_GB2312" w:eastAsia="仿宋_GB2312" w:cs="仿宋_GB2312"/>
          <w:kern w:val="2"/>
          <w:sz w:val="32"/>
          <w:szCs w:val="32"/>
          <w:lang w:val="en-US" w:eastAsia="zh-CN" w:bidi="ar-SA"/>
        </w:rPr>
        <w:t>支付合同金额的100%。</w:t>
      </w:r>
    </w:p>
    <w:p/>
    <w:p/>
    <w:p/>
    <w:p/>
    <w:p/>
    <w:p/>
    <w:p/>
    <w:p/>
    <w:p/>
    <w:bookmarkEnd w:id="0"/>
    <w:bookmarkEnd w:id="1"/>
    <w:bookmarkEnd w:id="2"/>
    <w:p>
      <w:bookmarkStart w:id="8" w:name="_Toc496025326"/>
      <w:bookmarkEnd w:id="8"/>
      <w:bookmarkStart w:id="9" w:name="_Toc496027417"/>
      <w:bookmarkEnd w:id="9"/>
      <w:bookmarkStart w:id="10" w:name="_Toc496201304"/>
      <w:bookmarkEnd w:id="10"/>
      <w:bookmarkStart w:id="11" w:name="_Toc496773726"/>
      <w:bookmarkEnd w:id="11"/>
      <w:bookmarkStart w:id="12" w:name="_Toc496033903"/>
      <w:bookmarkEnd w:id="12"/>
      <w:bookmarkStart w:id="13" w:name="_Toc496027289"/>
      <w:bookmarkEnd w:id="13"/>
      <w:bookmarkStart w:id="14" w:name="_Toc496273552"/>
      <w:bookmarkEnd w:id="14"/>
      <w:bookmarkStart w:id="15" w:name="_Toc496106780"/>
      <w:bookmarkEnd w:id="15"/>
      <w:bookmarkStart w:id="16" w:name="_Toc496025394"/>
      <w:bookmarkEnd w:id="16"/>
      <w:bookmarkStart w:id="17" w:name="_Toc496105856"/>
      <w:bookmarkEnd w:id="17"/>
      <w:bookmarkStart w:id="18" w:name="_Toc502925226"/>
      <w:bookmarkEnd w:id="18"/>
      <w:bookmarkStart w:id="19" w:name="_Toc496175723"/>
      <w:bookmarkEnd w:id="19"/>
      <w:bookmarkStart w:id="20" w:name="_Toc498932316"/>
      <w:bookmarkEnd w:id="20"/>
      <w:bookmarkStart w:id="21" w:name="_Toc496713456"/>
      <w:bookmarkEnd w:id="21"/>
      <w:bookmarkStart w:id="22" w:name="_Toc496716947"/>
      <w:bookmarkEnd w:id="22"/>
      <w:bookmarkStart w:id="23" w:name="_Toc496025482"/>
      <w:bookmarkEnd w:id="23"/>
      <w:bookmarkStart w:id="24" w:name="_Toc496025438"/>
      <w:bookmarkEnd w:id="24"/>
      <w:bookmarkStart w:id="25" w:name="_Toc503252081"/>
      <w:bookmarkEnd w:id="25"/>
      <w:bookmarkStart w:id="26" w:name="_Toc498932272"/>
      <w:bookmarkEnd w:id="26"/>
      <w:bookmarkStart w:id="27" w:name="_Toc496025359"/>
      <w:bookmarkEnd w:id="27"/>
    </w:p>
    <w:p/>
    <w:sectPr>
      <w:headerReference r:id="rId3" w:type="default"/>
      <w:footerReference r:id="rId4" w:type="default"/>
      <w:pgSz w:w="11906" w:h="16838"/>
      <w:pgMar w:top="1440" w:right="1800" w:bottom="1440" w:left="1800" w:header="680" w:footer="794" w:gutter="0"/>
      <w:cols w:space="720" w:num="1"/>
      <w:titlePg/>
      <w:docGrid w:type="lines" w:linePitch="30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Times New Roman"/>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2A7"/>
    <w:rsid w:val="000039E4"/>
    <w:rsid w:val="00024D84"/>
    <w:rsid w:val="0003298C"/>
    <w:rsid w:val="00043B53"/>
    <w:rsid w:val="00061274"/>
    <w:rsid w:val="000633F9"/>
    <w:rsid w:val="0007381E"/>
    <w:rsid w:val="000B037E"/>
    <w:rsid w:val="000C37DE"/>
    <w:rsid w:val="000C7628"/>
    <w:rsid w:val="000D772E"/>
    <w:rsid w:val="000E1231"/>
    <w:rsid w:val="000E226C"/>
    <w:rsid w:val="000F0AAF"/>
    <w:rsid w:val="000F2010"/>
    <w:rsid w:val="000F6A02"/>
    <w:rsid w:val="0010576B"/>
    <w:rsid w:val="00117BCA"/>
    <w:rsid w:val="00120779"/>
    <w:rsid w:val="00126223"/>
    <w:rsid w:val="00126E41"/>
    <w:rsid w:val="00127C55"/>
    <w:rsid w:val="00141A23"/>
    <w:rsid w:val="0015487E"/>
    <w:rsid w:val="00155898"/>
    <w:rsid w:val="00175B57"/>
    <w:rsid w:val="0017799A"/>
    <w:rsid w:val="00180362"/>
    <w:rsid w:val="00191607"/>
    <w:rsid w:val="0019620D"/>
    <w:rsid w:val="00197BEE"/>
    <w:rsid w:val="001A718A"/>
    <w:rsid w:val="001B5C27"/>
    <w:rsid w:val="001C0D25"/>
    <w:rsid w:val="001D4DFD"/>
    <w:rsid w:val="001E00F3"/>
    <w:rsid w:val="001E08F9"/>
    <w:rsid w:val="001F3580"/>
    <w:rsid w:val="00202745"/>
    <w:rsid w:val="00210C31"/>
    <w:rsid w:val="002143D9"/>
    <w:rsid w:val="00222061"/>
    <w:rsid w:val="00222110"/>
    <w:rsid w:val="0023170E"/>
    <w:rsid w:val="00236C29"/>
    <w:rsid w:val="002479AF"/>
    <w:rsid w:val="00247C8D"/>
    <w:rsid w:val="00275DA0"/>
    <w:rsid w:val="002863FF"/>
    <w:rsid w:val="00295CCD"/>
    <w:rsid w:val="002A482C"/>
    <w:rsid w:val="002C757D"/>
    <w:rsid w:val="002D1FC1"/>
    <w:rsid w:val="002D507D"/>
    <w:rsid w:val="002E175A"/>
    <w:rsid w:val="002E30BE"/>
    <w:rsid w:val="002F2884"/>
    <w:rsid w:val="003073B6"/>
    <w:rsid w:val="00315592"/>
    <w:rsid w:val="00326C2B"/>
    <w:rsid w:val="0035187E"/>
    <w:rsid w:val="00353042"/>
    <w:rsid w:val="00353BCD"/>
    <w:rsid w:val="00355E04"/>
    <w:rsid w:val="00361B20"/>
    <w:rsid w:val="00362CF4"/>
    <w:rsid w:val="0036759B"/>
    <w:rsid w:val="0038343E"/>
    <w:rsid w:val="00385083"/>
    <w:rsid w:val="00394E09"/>
    <w:rsid w:val="003A3F2F"/>
    <w:rsid w:val="003B6B3E"/>
    <w:rsid w:val="003B70CC"/>
    <w:rsid w:val="003E08B3"/>
    <w:rsid w:val="003E1303"/>
    <w:rsid w:val="00405FC2"/>
    <w:rsid w:val="00454E0D"/>
    <w:rsid w:val="004558CB"/>
    <w:rsid w:val="0047041E"/>
    <w:rsid w:val="00484F9D"/>
    <w:rsid w:val="00492381"/>
    <w:rsid w:val="004959EF"/>
    <w:rsid w:val="004A3B34"/>
    <w:rsid w:val="004B2F03"/>
    <w:rsid w:val="004C2590"/>
    <w:rsid w:val="004D5987"/>
    <w:rsid w:val="005010C0"/>
    <w:rsid w:val="0054020F"/>
    <w:rsid w:val="00541620"/>
    <w:rsid w:val="00547F9F"/>
    <w:rsid w:val="005522E1"/>
    <w:rsid w:val="0055419A"/>
    <w:rsid w:val="0058098D"/>
    <w:rsid w:val="005846C1"/>
    <w:rsid w:val="005A1441"/>
    <w:rsid w:val="005A3D24"/>
    <w:rsid w:val="005B0C2D"/>
    <w:rsid w:val="005C5643"/>
    <w:rsid w:val="005E45FC"/>
    <w:rsid w:val="00605737"/>
    <w:rsid w:val="006150A5"/>
    <w:rsid w:val="00616C6E"/>
    <w:rsid w:val="00632BC9"/>
    <w:rsid w:val="00637AB1"/>
    <w:rsid w:val="00637AB2"/>
    <w:rsid w:val="00640E79"/>
    <w:rsid w:val="00642D66"/>
    <w:rsid w:val="00643FA8"/>
    <w:rsid w:val="00645BFE"/>
    <w:rsid w:val="006478BF"/>
    <w:rsid w:val="0067449C"/>
    <w:rsid w:val="00676206"/>
    <w:rsid w:val="00676E22"/>
    <w:rsid w:val="00677B99"/>
    <w:rsid w:val="006A0DB7"/>
    <w:rsid w:val="006A56CE"/>
    <w:rsid w:val="006A5762"/>
    <w:rsid w:val="006C591C"/>
    <w:rsid w:val="006C7CDD"/>
    <w:rsid w:val="006E166B"/>
    <w:rsid w:val="006E7EC1"/>
    <w:rsid w:val="00710213"/>
    <w:rsid w:val="00714B64"/>
    <w:rsid w:val="00753D72"/>
    <w:rsid w:val="007546E4"/>
    <w:rsid w:val="00755BAE"/>
    <w:rsid w:val="007730DD"/>
    <w:rsid w:val="00794786"/>
    <w:rsid w:val="00794AA3"/>
    <w:rsid w:val="00796869"/>
    <w:rsid w:val="007A43C3"/>
    <w:rsid w:val="007A774A"/>
    <w:rsid w:val="007B3460"/>
    <w:rsid w:val="007E29B9"/>
    <w:rsid w:val="007E2C68"/>
    <w:rsid w:val="007F0E22"/>
    <w:rsid w:val="007F2551"/>
    <w:rsid w:val="007F6823"/>
    <w:rsid w:val="00812121"/>
    <w:rsid w:val="00846029"/>
    <w:rsid w:val="00886B2D"/>
    <w:rsid w:val="008B01BD"/>
    <w:rsid w:val="008C756B"/>
    <w:rsid w:val="008D323D"/>
    <w:rsid w:val="008E4871"/>
    <w:rsid w:val="008E5625"/>
    <w:rsid w:val="008E5750"/>
    <w:rsid w:val="008F13FC"/>
    <w:rsid w:val="008F77BA"/>
    <w:rsid w:val="00900FC0"/>
    <w:rsid w:val="00966EA5"/>
    <w:rsid w:val="009758C6"/>
    <w:rsid w:val="00985666"/>
    <w:rsid w:val="00992C12"/>
    <w:rsid w:val="009A7793"/>
    <w:rsid w:val="009B2FA5"/>
    <w:rsid w:val="009B5832"/>
    <w:rsid w:val="009C6129"/>
    <w:rsid w:val="009D01D4"/>
    <w:rsid w:val="009D40B9"/>
    <w:rsid w:val="009F2F34"/>
    <w:rsid w:val="009F3051"/>
    <w:rsid w:val="009F42C6"/>
    <w:rsid w:val="00A039ED"/>
    <w:rsid w:val="00A25F43"/>
    <w:rsid w:val="00A426E2"/>
    <w:rsid w:val="00A43332"/>
    <w:rsid w:val="00A476D7"/>
    <w:rsid w:val="00A51D4E"/>
    <w:rsid w:val="00A604E5"/>
    <w:rsid w:val="00A64341"/>
    <w:rsid w:val="00A714C4"/>
    <w:rsid w:val="00AA631A"/>
    <w:rsid w:val="00AD0D8C"/>
    <w:rsid w:val="00B15E8B"/>
    <w:rsid w:val="00B17BE0"/>
    <w:rsid w:val="00B31330"/>
    <w:rsid w:val="00B91957"/>
    <w:rsid w:val="00B92F5B"/>
    <w:rsid w:val="00BA0B2C"/>
    <w:rsid w:val="00BB09AF"/>
    <w:rsid w:val="00BC3250"/>
    <w:rsid w:val="00BE260D"/>
    <w:rsid w:val="00C053A9"/>
    <w:rsid w:val="00C274F0"/>
    <w:rsid w:val="00C418DC"/>
    <w:rsid w:val="00C45546"/>
    <w:rsid w:val="00C50476"/>
    <w:rsid w:val="00C50ED2"/>
    <w:rsid w:val="00C61680"/>
    <w:rsid w:val="00C65EDC"/>
    <w:rsid w:val="00C85945"/>
    <w:rsid w:val="00C97AEE"/>
    <w:rsid w:val="00CA29CA"/>
    <w:rsid w:val="00CC14B0"/>
    <w:rsid w:val="00CC61DB"/>
    <w:rsid w:val="00CD493E"/>
    <w:rsid w:val="00CE63F0"/>
    <w:rsid w:val="00CE6D65"/>
    <w:rsid w:val="00CF6EA3"/>
    <w:rsid w:val="00D067E9"/>
    <w:rsid w:val="00D06A8E"/>
    <w:rsid w:val="00D16040"/>
    <w:rsid w:val="00D32481"/>
    <w:rsid w:val="00D34194"/>
    <w:rsid w:val="00D4149D"/>
    <w:rsid w:val="00D4428B"/>
    <w:rsid w:val="00D45719"/>
    <w:rsid w:val="00D50CB4"/>
    <w:rsid w:val="00D552C4"/>
    <w:rsid w:val="00D558A2"/>
    <w:rsid w:val="00D612F3"/>
    <w:rsid w:val="00D66652"/>
    <w:rsid w:val="00D75774"/>
    <w:rsid w:val="00D85249"/>
    <w:rsid w:val="00D91A4A"/>
    <w:rsid w:val="00DB0F05"/>
    <w:rsid w:val="00DB48FF"/>
    <w:rsid w:val="00DD7605"/>
    <w:rsid w:val="00DE1EF0"/>
    <w:rsid w:val="00DF7025"/>
    <w:rsid w:val="00E012F7"/>
    <w:rsid w:val="00E06515"/>
    <w:rsid w:val="00E25877"/>
    <w:rsid w:val="00E26395"/>
    <w:rsid w:val="00E31C50"/>
    <w:rsid w:val="00E362A7"/>
    <w:rsid w:val="00E51EEB"/>
    <w:rsid w:val="00E86D6D"/>
    <w:rsid w:val="00E9547E"/>
    <w:rsid w:val="00EA78DA"/>
    <w:rsid w:val="00EB2288"/>
    <w:rsid w:val="00EB55DB"/>
    <w:rsid w:val="00ED4ECA"/>
    <w:rsid w:val="00EF42AD"/>
    <w:rsid w:val="00F36DA0"/>
    <w:rsid w:val="00F42F0D"/>
    <w:rsid w:val="00F43DFC"/>
    <w:rsid w:val="00F705C5"/>
    <w:rsid w:val="00F72BD3"/>
    <w:rsid w:val="00F764AE"/>
    <w:rsid w:val="00F915C4"/>
    <w:rsid w:val="00F95065"/>
    <w:rsid w:val="00FB0554"/>
    <w:rsid w:val="00FC4080"/>
    <w:rsid w:val="00FC48CB"/>
    <w:rsid w:val="00FD1601"/>
    <w:rsid w:val="00FE7735"/>
    <w:rsid w:val="00FF2A0C"/>
    <w:rsid w:val="00FF64B9"/>
    <w:rsid w:val="31F80E19"/>
    <w:rsid w:val="417B4B02"/>
    <w:rsid w:val="54BB211D"/>
    <w:rsid w:val="5D022A55"/>
    <w:rsid w:val="711D69E1"/>
    <w:rsid w:val="77C97286"/>
    <w:rsid w:val="7AFD1B5F"/>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Plain Text"/>
    <w:basedOn w:val="1"/>
    <w:qFormat/>
    <w:uiPriority w:val="0"/>
    <w:rPr>
      <w:rFonts w:ascii="宋体" w:hAnsi="Courier New"/>
      <w:kern w:val="2"/>
      <w:szCs w:val="20"/>
    </w:rPr>
  </w:style>
  <w:style w:type="paragraph" w:styleId="8">
    <w:name w:val="Balloon Text"/>
    <w:basedOn w:val="1"/>
    <w:link w:val="17"/>
    <w:semiHidden/>
    <w:unhideWhenUsed/>
    <w:qFormat/>
    <w:uiPriority w:val="99"/>
    <w:rPr>
      <w:sz w:val="18"/>
      <w:szCs w:val="18"/>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before="120" w:line="360" w:lineRule="auto"/>
      <w:jc w:val="left"/>
    </w:pPr>
    <w:rPr>
      <w:rFonts w:eastAsia="仿宋" w:cs="Times New Roman"/>
      <w:b/>
      <w:sz w:val="24"/>
      <w:szCs w:val="24"/>
    </w:rPr>
  </w:style>
  <w:style w:type="character" w:styleId="14">
    <w:name w:val="Hyperlink"/>
    <w:qFormat/>
    <w:uiPriority w:val="99"/>
    <w:rPr>
      <w:color w:val="0000FF"/>
      <w:u w:val="single"/>
    </w:rPr>
  </w:style>
  <w:style w:type="character" w:customStyle="1" w:styleId="15">
    <w:name w:val="页眉 Char"/>
    <w:basedOn w:val="13"/>
    <w:link w:val="10"/>
    <w:qFormat/>
    <w:uiPriority w:val="99"/>
    <w:rPr>
      <w:sz w:val="18"/>
      <w:szCs w:val="18"/>
    </w:rPr>
  </w:style>
  <w:style w:type="character" w:customStyle="1" w:styleId="16">
    <w:name w:val="页脚 Char"/>
    <w:basedOn w:val="13"/>
    <w:link w:val="9"/>
    <w:uiPriority w:val="99"/>
    <w:rPr>
      <w:sz w:val="18"/>
      <w:szCs w:val="18"/>
    </w:rPr>
  </w:style>
  <w:style w:type="character" w:customStyle="1" w:styleId="17">
    <w:name w:val="批注框文本 Char"/>
    <w:basedOn w:val="13"/>
    <w:link w:val="8"/>
    <w:semiHidden/>
    <w:qFormat/>
    <w:uiPriority w:val="99"/>
    <w:rPr>
      <w:sz w:val="18"/>
      <w:szCs w:val="18"/>
    </w:rPr>
  </w:style>
  <w:style w:type="character" w:customStyle="1" w:styleId="18">
    <w:name w:val="标题 1 Char"/>
    <w:basedOn w:val="13"/>
    <w:link w:val="2"/>
    <w:qFormat/>
    <w:uiPriority w:val="0"/>
    <w:rPr>
      <w:b/>
      <w:bCs/>
      <w:kern w:val="44"/>
      <w:sz w:val="44"/>
      <w:szCs w:val="44"/>
    </w:rPr>
  </w:style>
  <w:style w:type="paragraph" w:customStyle="1" w:styleId="1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20">
    <w:name w:val="图"/>
    <w:basedOn w:val="1"/>
    <w:uiPriority w:val="0"/>
    <w:pPr>
      <w:keepNext/>
      <w:adjustRightInd w:val="0"/>
      <w:spacing w:before="60" w:after="60" w:line="300" w:lineRule="auto"/>
      <w:jc w:val="center"/>
      <w:textAlignment w:val="center"/>
    </w:pPr>
    <w:rPr>
      <w:snapToGrid w:val="0"/>
      <w:spacing w:val="2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97AA3C-0311-4145-8DF9-616057BF974F}">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829</Words>
  <Characters>4729</Characters>
  <Lines>39</Lines>
  <Paragraphs>11</Paragraphs>
  <TotalTime>1</TotalTime>
  <ScaleCrop>false</ScaleCrop>
  <LinksUpToDate>false</LinksUpToDate>
  <CharactersWithSpaces>5547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2020-05-29T02:26:00Z</dcterms:created>
  <dc:creator>宁爱武</dc:creator>
  <cp:lastModifiedBy>回憶未來</cp:lastModifiedBy>
  <dcterms:modified xsi:type="dcterms:W3CDTF">2020-07-01T04:00:04Z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