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仿宋_GB2312" w:hAnsi="Calibri" w:eastAsia="仿宋_GB2312" w:cs="Times New Roman"/>
          <w:b/>
          <w:bCs/>
          <w:kern w:val="2"/>
          <w:sz w:val="44"/>
          <w:szCs w:val="44"/>
          <w:lang w:val="en-US" w:eastAsia="zh-CN"/>
        </w:rPr>
      </w:pPr>
      <w:r>
        <w:rPr>
          <w:rFonts w:hint="eastAsia" w:ascii="仿宋_GB2312" w:hAnsi="Calibri" w:eastAsia="仿宋_GB2312" w:cs="Times New Roman"/>
          <w:b/>
          <w:bCs/>
          <w:kern w:val="2"/>
          <w:sz w:val="44"/>
          <w:szCs w:val="44"/>
          <w:lang w:val="en-US" w:eastAsia="zh-CN"/>
        </w:rPr>
        <w:t>学校2020-2021学年零星修缮项目</w:t>
      </w:r>
    </w:p>
    <w:p>
      <w:pPr>
        <w:numPr>
          <w:ilvl w:val="0"/>
          <w:numId w:val="0"/>
        </w:numPr>
        <w:spacing w:line="360" w:lineRule="auto"/>
        <w:jc w:val="center"/>
        <w:rPr>
          <w:rFonts w:hint="eastAsia" w:ascii="仿宋_GB2312" w:hAnsi="Calibri" w:eastAsia="仿宋_GB2312" w:cs="Times New Roman"/>
          <w:b/>
          <w:bCs/>
          <w:kern w:val="2"/>
          <w:sz w:val="44"/>
          <w:szCs w:val="44"/>
          <w:lang w:val="en-US" w:eastAsia="zh-CN"/>
        </w:rPr>
      </w:pPr>
      <w:r>
        <w:rPr>
          <w:rFonts w:hint="eastAsia" w:ascii="仿宋_GB2312" w:hAnsi="Calibri" w:eastAsia="仿宋_GB2312" w:cs="Times New Roman"/>
          <w:b/>
          <w:bCs/>
          <w:kern w:val="2"/>
          <w:sz w:val="44"/>
          <w:szCs w:val="44"/>
          <w:lang w:val="en-US" w:eastAsia="zh-CN"/>
        </w:rPr>
        <w:t>用户需求书</w:t>
      </w:r>
    </w:p>
    <w:p>
      <w:pPr>
        <w:spacing w:line="360" w:lineRule="auto"/>
        <w:jc w:val="left"/>
        <w:rPr>
          <w:rFonts w:hint="eastAsia" w:ascii="仿宋_GB2312" w:hAnsi="Calibri" w:eastAsia="仿宋_GB2312" w:cs="Times New Roman"/>
          <w:kern w:val="2"/>
          <w:sz w:val="21"/>
          <w:szCs w:val="21"/>
          <w:lang w:eastAsia="zh-CN"/>
        </w:rPr>
      </w:pPr>
      <w:bookmarkStart w:id="0" w:name="_GoBack"/>
      <w:bookmarkEnd w:id="0"/>
    </w:p>
    <w:p>
      <w:pPr>
        <w:numPr>
          <w:ilvl w:val="0"/>
          <w:numId w:val="1"/>
        </w:numPr>
        <w:spacing w:line="360" w:lineRule="auto"/>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项目名称：学校2020-2021学年零星修缮项目</w:t>
      </w:r>
    </w:p>
    <w:p>
      <w:pPr>
        <w:numPr>
          <w:ilvl w:val="0"/>
          <w:numId w:val="0"/>
        </w:numPr>
        <w:spacing w:line="360" w:lineRule="auto"/>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二．项目内容：广东松山职业技术学院2020-2021年预算4万元以下的维修项目，包含室内装修，外墙装饰、道路维修、水电维修、盖板更换维修、排水渠维修、应急防洪处理以及其它应急维修等。</w:t>
      </w:r>
    </w:p>
    <w:p>
      <w:pPr>
        <w:spacing w:line="360" w:lineRule="auto"/>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三．技术（服务）要求</w:t>
      </w:r>
    </w:p>
    <w:p>
      <w:pPr>
        <w:spacing w:line="360" w:lineRule="auto"/>
        <w:ind w:firstLine="560" w:firstLineChars="20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1.供应商指定项目负责人，负责本项目的现场施工管理工作，提供详细联系方式。</w:t>
      </w:r>
    </w:p>
    <w:p>
      <w:pPr>
        <w:spacing w:line="360" w:lineRule="auto"/>
        <w:ind w:firstLine="56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2.收到维修单后，普通项目24小时需安排负责人现场勘查，2个工作日内安排施工；应急抢险项目6小时内安排施工人员维修。</w:t>
      </w:r>
    </w:p>
    <w:p>
      <w:pPr>
        <w:spacing w:line="360" w:lineRule="auto"/>
        <w:ind w:firstLine="560" w:firstLineChars="200"/>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3.按《建筑装饰装修施工质量验收规范》（GB50210－2001）、《建筑工程施工质量验收评定统一标准》（GB50300-2001）等国家制订的施工及验收规范为质量评定验收标准。</w:t>
      </w:r>
    </w:p>
    <w:p>
      <w:pPr>
        <w:spacing w:line="360" w:lineRule="auto"/>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四．采购项目商务要求：</w:t>
      </w:r>
    </w:p>
    <w:p>
      <w:pPr>
        <w:spacing w:line="360" w:lineRule="auto"/>
        <w:ind w:firstLine="560" w:firstLineChars="20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1.工程预算：70万元。</w:t>
      </w:r>
    </w:p>
    <w:p>
      <w:pPr>
        <w:spacing w:line="360" w:lineRule="auto"/>
        <w:ind w:firstLine="560" w:firstLineChars="200"/>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2.报价要求：供应商报出《学院2020年度零星修缮工程报价表》的项目总价。</w:t>
      </w:r>
    </w:p>
    <w:p>
      <w:pPr>
        <w:spacing w:line="360" w:lineRule="auto"/>
        <w:ind w:firstLine="560" w:firstLineChars="200"/>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3.结算方式：根据现场实际完成工程量编制工程签证，交由第三方工程预算公司编制工程造价，工程结算价=工程造价*（1-下浮率），结算价超过中标总价按中标总价结算。下浮率为（1-中标总价/70万）*100%。（四舍五入精确到小数点后两位）。</w:t>
      </w:r>
    </w:p>
    <w:p>
      <w:pPr>
        <w:spacing w:line="360" w:lineRule="auto"/>
        <w:ind w:firstLine="560" w:firstLineChars="20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4.工程造价编制原则：按照施工当期执行的中华人民共和国国家标准《建设工程工程量清单计价规范》、《广东省安装工程综合定额》、《广东省建筑及装饰工程综合定额》、《广东省房屋建筑和市政修缮工程综合定额》计价。其中人工、机械台班价格按施工当期韶关市建设工程造价管理站发布的价格执行。规费按韶关地区类别执行，税金费率按国家规定执行。材料单价按工程开工当月的韶关市信息价（未涵盖部分按经业主核准的单价或参照广东省其他地区同时期信息价）；</w:t>
      </w:r>
    </w:p>
    <w:p>
      <w:pPr>
        <w:spacing w:line="360" w:lineRule="auto"/>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其中独立人工费（签证人工工日）按一天230元计算（2018年新定额，机上人费230元每工日），人工主要指泥水工、普工等技术含量不高的工种。</w:t>
      </w:r>
    </w:p>
    <w:p>
      <w:pPr>
        <w:spacing w:line="360" w:lineRule="auto"/>
        <w:ind w:firstLine="560" w:firstLineChars="200"/>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5.服务期限：合同签订之日起1年或实际施工预算下浮后达到合同金额合同自动终止。</w:t>
      </w:r>
    </w:p>
    <w:p>
      <w:pPr>
        <w:spacing w:line="360" w:lineRule="auto"/>
        <w:ind w:firstLine="560" w:firstLineChars="20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5.质保金：工程结算价的5%作为工程质保金。质保期验收合格后无息退还。</w:t>
      </w:r>
    </w:p>
    <w:p>
      <w:pPr>
        <w:spacing w:line="360" w:lineRule="auto"/>
        <w:ind w:firstLine="560" w:firstLineChars="20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6.付款方式：每半年支付一次，完成工程验收和工程结算后，施工单位出具正式发票，学院在10工作日内付工程结算价的95%。银行转账。</w:t>
      </w:r>
    </w:p>
    <w:p>
      <w:pPr>
        <w:spacing w:line="360" w:lineRule="auto"/>
        <w:ind w:firstLine="560" w:firstLineChars="200"/>
        <w:jc w:val="left"/>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7.质保期：两年。最后一次工程竣工验收之日起两年。</w:t>
      </w:r>
    </w:p>
    <w:p>
      <w:pPr>
        <w:spacing w:line="360" w:lineRule="auto"/>
        <w:ind w:firstLine="560" w:firstLineChars="200"/>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8.工程签证原则：普通项目按实际完成工程量进行签证。零散项目（以外委施工申请单为准）按材料、机械和人工进行签证（人工不足一个工日按一个工日计算）。项目完成后3个工作日内供应商提交工程签证。</w:t>
      </w:r>
    </w:p>
    <w:p>
      <w:pPr>
        <w:spacing w:line="360" w:lineRule="auto"/>
        <w:ind w:firstLine="560" w:firstLineChars="200"/>
        <w:jc w:val="left"/>
        <w:rPr>
          <w:rFonts w:hint="default"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9.学院2020年度零星修缮工程报价表</w:t>
      </w:r>
    </w:p>
    <w:p>
      <w:pPr>
        <w:spacing w:line="360" w:lineRule="auto"/>
        <w:ind w:firstLine="560" w:firstLineChars="200"/>
        <w:jc w:val="left"/>
        <w:rPr>
          <w:rFonts w:hint="default" w:ascii="仿宋_GB2312" w:hAnsi="Calibri" w:eastAsia="仿宋_GB2312" w:cs="Times New Roman"/>
          <w:kern w:val="2"/>
          <w:sz w:val="28"/>
          <w:szCs w:val="28"/>
          <w:lang w:val="en-US" w:eastAsia="zh-CN"/>
        </w:rPr>
      </w:pPr>
    </w:p>
    <w:p>
      <w:pPr>
        <w:spacing w:line="360" w:lineRule="auto"/>
        <w:ind w:firstLine="560" w:firstLineChars="200"/>
        <w:jc w:val="center"/>
        <w:rPr>
          <w:rFonts w:hint="eastAsia" w:ascii="仿宋_GB2312" w:hAnsi="Calibri" w:eastAsia="仿宋_GB2312" w:cs="Times New Roman"/>
          <w:kern w:val="2"/>
          <w:sz w:val="28"/>
          <w:szCs w:val="28"/>
          <w:lang w:val="en-US" w:eastAsia="zh-CN"/>
        </w:rPr>
      </w:pPr>
      <w:r>
        <w:rPr>
          <w:rFonts w:hint="eastAsia" w:ascii="仿宋_GB2312" w:hAnsi="Calibri" w:eastAsia="仿宋_GB2312" w:cs="Times New Roman"/>
          <w:kern w:val="2"/>
          <w:sz w:val="28"/>
          <w:szCs w:val="28"/>
          <w:lang w:val="en-US" w:eastAsia="zh-CN"/>
        </w:rPr>
        <w:t>《学院2020年度零星修缮工程报价表》</w:t>
      </w:r>
    </w:p>
    <w:tbl>
      <w:tblPr>
        <w:tblStyle w:val="3"/>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789"/>
        <w:gridCol w:w="1084"/>
        <w:gridCol w:w="1391"/>
        <w:gridCol w:w="103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序号</w:t>
            </w:r>
          </w:p>
        </w:tc>
        <w:tc>
          <w:tcPr>
            <w:tcW w:w="3789"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项目名称</w:t>
            </w:r>
          </w:p>
        </w:tc>
        <w:tc>
          <w:tcPr>
            <w:tcW w:w="1084" w:type="dxa"/>
          </w:tcPr>
          <w:p>
            <w:pPr>
              <w:spacing w:line="360" w:lineRule="auto"/>
              <w:jc w:val="center"/>
              <w:rPr>
                <w:rFonts w:hint="eastAsia"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单位</w:t>
            </w:r>
          </w:p>
        </w:tc>
        <w:tc>
          <w:tcPr>
            <w:tcW w:w="1391"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最高限价（元）</w:t>
            </w:r>
          </w:p>
        </w:tc>
        <w:tc>
          <w:tcPr>
            <w:tcW w:w="1035"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报价（元）</w:t>
            </w:r>
          </w:p>
        </w:tc>
        <w:tc>
          <w:tcPr>
            <w:tcW w:w="1731" w:type="dxa"/>
          </w:tcPr>
          <w:p>
            <w:pPr>
              <w:spacing w:line="360" w:lineRule="auto"/>
              <w:jc w:val="center"/>
              <w:rPr>
                <w:rFonts w:hint="eastAsia"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折合下浮率%</w:t>
            </w:r>
          </w:p>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1</w:t>
            </w:r>
          </w:p>
        </w:tc>
        <w:tc>
          <w:tcPr>
            <w:tcW w:w="3789"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lang w:val="en-US" w:eastAsia="zh-CN"/>
              </w:rPr>
              <w:t>学院2020年度零星修缮工程</w:t>
            </w:r>
          </w:p>
        </w:tc>
        <w:tc>
          <w:tcPr>
            <w:tcW w:w="1084"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项</w:t>
            </w:r>
          </w:p>
        </w:tc>
        <w:tc>
          <w:tcPr>
            <w:tcW w:w="1391"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70万</w:t>
            </w:r>
          </w:p>
        </w:tc>
        <w:tc>
          <w:tcPr>
            <w:tcW w:w="1035"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c>
          <w:tcPr>
            <w:tcW w:w="1731"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jc w:val="center"/>
              <w:rPr>
                <w:rFonts w:hint="default" w:ascii="仿宋_GB2312" w:hAnsi="Calibri" w:eastAsia="仿宋_GB2312" w:cs="Times New Roman"/>
                <w:kern w:val="2"/>
                <w:sz w:val="24"/>
                <w:szCs w:val="24"/>
                <w:vertAlign w:val="baseline"/>
                <w:lang w:val="en-US" w:eastAsia="zh-CN"/>
              </w:rPr>
            </w:pPr>
            <w:r>
              <w:rPr>
                <w:rFonts w:hint="eastAsia" w:ascii="仿宋_GB2312" w:hAnsi="Calibri" w:eastAsia="仿宋_GB2312" w:cs="Times New Roman"/>
                <w:kern w:val="2"/>
                <w:sz w:val="24"/>
                <w:szCs w:val="24"/>
                <w:vertAlign w:val="baseline"/>
                <w:lang w:val="en-US" w:eastAsia="zh-CN"/>
              </w:rPr>
              <w:t>2</w:t>
            </w:r>
          </w:p>
        </w:tc>
        <w:tc>
          <w:tcPr>
            <w:tcW w:w="3789"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c>
          <w:tcPr>
            <w:tcW w:w="1084"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c>
          <w:tcPr>
            <w:tcW w:w="1391"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c>
          <w:tcPr>
            <w:tcW w:w="1035"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c>
          <w:tcPr>
            <w:tcW w:w="1731" w:type="dxa"/>
          </w:tcPr>
          <w:p>
            <w:pPr>
              <w:spacing w:line="360" w:lineRule="auto"/>
              <w:jc w:val="center"/>
              <w:rPr>
                <w:rFonts w:hint="default" w:ascii="仿宋_GB2312" w:hAnsi="Calibri" w:eastAsia="仿宋_GB2312" w:cs="Times New Roman"/>
                <w:kern w:val="2"/>
                <w:sz w:val="24"/>
                <w:szCs w:val="24"/>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0F8FB9"/>
    <w:multiLevelType w:val="singleLevel"/>
    <w:tmpl w:val="AA0F8F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427BF"/>
    <w:rsid w:val="202D7B30"/>
    <w:rsid w:val="35AE2EA1"/>
    <w:rsid w:val="530B6816"/>
    <w:rsid w:val="542A6F4D"/>
    <w:rsid w:val="54DC3957"/>
    <w:rsid w:val="5DC50FBE"/>
    <w:rsid w:val="65B427BF"/>
    <w:rsid w:val="78250EBD"/>
    <w:rsid w:val="7B4A1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Arial" w:asciiTheme="minorHAnsi" w:hAnsiTheme="minorHAnsi" w:eastAsiaTheme="minorEastAsia"/>
      <w:color w:val="auto"/>
      <w:kern w:val="0"/>
      <w:sz w:val="15"/>
      <w:szCs w:val="15"/>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2020-05-07T02:42:00Z</dcterms:created>
  <dc:creator>盛鸿学</dc:creator>
  <cp:lastModifiedBy>盛鸿学</cp:lastModifiedBy>
  <dcterms:modified xsi:type="dcterms:W3CDTF">2020-06-16T08:16:02Z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