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210"/>
        </w:tabs>
        <w:spacing w:line="360" w:lineRule="auto"/>
        <w:jc w:val="both"/>
        <w:rPr>
          <w:rFonts w:ascii="Arial" w:hAnsi="Arial" w:cs="Arial"/>
          <w:b/>
          <w:sz w:val="32"/>
          <w:szCs w:val="32"/>
        </w:rPr>
      </w:pPr>
      <w:bookmarkStart w:id="0" w:name="_GoBack"/>
      <w:bookmarkEnd w:id="0"/>
    </w:p>
    <w:p>
      <w:pPr>
        <w:tabs>
          <w:tab w:val="left" w:pos="3210"/>
        </w:tabs>
        <w:spacing w:line="360" w:lineRule="auto"/>
        <w:jc w:val="center"/>
        <w:rPr>
          <w:rFonts w:ascii="Arial" w:hAnsi="Arial" w:cs="Arial"/>
          <w:b/>
          <w:sz w:val="32"/>
          <w:szCs w:val="32"/>
        </w:rPr>
      </w:pPr>
      <w:r>
        <w:rPr>
          <w:rFonts w:hint="eastAsia" w:ascii="Arial" w:hAnsi="Arial" w:cs="Arial"/>
          <w:b/>
          <w:sz w:val="32"/>
          <w:szCs w:val="32"/>
        </w:rPr>
        <w:t>智慧仓储与配送实训室升级项目用户需求书</w:t>
      </w:r>
    </w:p>
    <w:p>
      <w:pPr>
        <w:tabs>
          <w:tab w:val="left" w:pos="3210"/>
        </w:tabs>
        <w:spacing w:line="360" w:lineRule="auto"/>
        <w:rPr>
          <w:rFonts w:ascii="宋体" w:hAnsi="宋体" w:cs="Arial"/>
          <w:b/>
        </w:rPr>
      </w:pPr>
      <w:r>
        <w:rPr>
          <w:rFonts w:hint="eastAsia" w:ascii="宋体" w:hAnsi="宋体" w:cs="Arial"/>
          <w:b/>
        </w:rPr>
        <w:t>一、投标人资格：</w:t>
      </w:r>
    </w:p>
    <w:p>
      <w:pPr>
        <w:widowControl w:val="0"/>
        <w:autoSpaceDE w:val="0"/>
        <w:autoSpaceDN w:val="0"/>
        <w:spacing w:line="360" w:lineRule="auto"/>
        <w:outlineLvl w:val="0"/>
        <w:rPr>
          <w:rFonts w:ascii="Arial" w:hAnsi="Arial" w:cs="Arial"/>
          <w:bCs/>
          <w:szCs w:val="21"/>
          <w:lang w:val="zh-CN"/>
        </w:rPr>
      </w:pPr>
      <w:r>
        <w:rPr>
          <w:rFonts w:ascii="Arial" w:hAnsi="Arial" w:cs="Arial"/>
          <w:bCs/>
          <w:szCs w:val="21"/>
          <w:lang w:val="zh-CN"/>
        </w:rPr>
        <w:t>1、投标人必须符合《中华人民共和国政府采购法》第二十二条规定的条件；</w:t>
      </w:r>
    </w:p>
    <w:p>
      <w:pPr>
        <w:autoSpaceDN w:val="0"/>
        <w:spacing w:line="360" w:lineRule="auto"/>
        <w:ind w:firstLine="218" w:firstLineChars="104"/>
        <w:rPr>
          <w:rFonts w:ascii="Arial" w:hAnsi="Arial" w:cs="Arial"/>
          <w:bCs/>
          <w:szCs w:val="21"/>
          <w:lang w:val="zh-CN"/>
        </w:rPr>
      </w:pPr>
      <w:r>
        <w:rPr>
          <w:rFonts w:ascii="Arial" w:hAnsi="Arial" w:cs="Arial"/>
          <w:bCs/>
          <w:szCs w:val="21"/>
          <w:lang w:val="zh-CN"/>
        </w:rPr>
        <w:t>①具有独立承担民事责任的能力；</w:t>
      </w:r>
    </w:p>
    <w:p>
      <w:pPr>
        <w:tabs>
          <w:tab w:val="left" w:pos="6019"/>
        </w:tabs>
        <w:autoSpaceDN w:val="0"/>
        <w:spacing w:line="360" w:lineRule="auto"/>
        <w:ind w:firstLine="218" w:firstLineChars="104"/>
        <w:rPr>
          <w:rFonts w:ascii="Arial" w:hAnsi="Arial" w:cs="Arial"/>
          <w:bCs/>
          <w:szCs w:val="21"/>
          <w:lang w:val="zh-CN"/>
        </w:rPr>
      </w:pPr>
      <w:r>
        <w:rPr>
          <w:rFonts w:ascii="Arial" w:hAnsi="Arial" w:cs="Arial"/>
          <w:bCs/>
          <w:szCs w:val="21"/>
          <w:lang w:val="zh-CN"/>
        </w:rPr>
        <w:t>②具有良好的商业信誉和健全的</w:t>
      </w:r>
      <w:r>
        <w:fldChar w:fldCharType="begin"/>
      </w:r>
      <w:r>
        <w:instrText xml:space="preserve"> HYPERLINK "http://baike.baidu.com/view/4427954.htm" </w:instrText>
      </w:r>
      <w:r>
        <w:fldChar w:fldCharType="separate"/>
      </w:r>
      <w:r>
        <w:rPr>
          <w:rFonts w:ascii="Arial" w:hAnsi="Arial" w:cs="Arial"/>
          <w:bCs/>
          <w:szCs w:val="21"/>
          <w:lang w:val="zh-CN"/>
        </w:rPr>
        <w:t>财务会计制度</w:t>
      </w:r>
      <w:r>
        <w:rPr>
          <w:rFonts w:ascii="Arial" w:hAnsi="Arial" w:cs="Arial"/>
          <w:bCs/>
          <w:szCs w:val="21"/>
          <w:lang w:val="zh-CN"/>
        </w:rPr>
        <w:fldChar w:fldCharType="end"/>
      </w:r>
      <w:r>
        <w:rPr>
          <w:rFonts w:ascii="Arial" w:hAnsi="Arial" w:cs="Arial"/>
          <w:bCs/>
          <w:szCs w:val="21"/>
          <w:lang w:val="zh-CN"/>
        </w:rPr>
        <w:t>；</w:t>
      </w:r>
      <w:r>
        <w:rPr>
          <w:rFonts w:ascii="Arial" w:hAnsi="Arial" w:cs="Arial"/>
          <w:bCs/>
          <w:szCs w:val="21"/>
          <w:lang w:val="zh-CN"/>
        </w:rPr>
        <w:tab/>
      </w:r>
    </w:p>
    <w:p>
      <w:pPr>
        <w:autoSpaceDN w:val="0"/>
        <w:spacing w:line="360" w:lineRule="auto"/>
        <w:ind w:firstLine="218" w:firstLineChars="104"/>
        <w:rPr>
          <w:rFonts w:ascii="Arial" w:hAnsi="Arial" w:cs="Arial"/>
          <w:bCs/>
          <w:szCs w:val="21"/>
          <w:lang w:val="zh-CN"/>
        </w:rPr>
      </w:pPr>
      <w:r>
        <w:rPr>
          <w:rFonts w:ascii="Arial" w:hAnsi="Arial" w:cs="Arial"/>
          <w:bCs/>
          <w:szCs w:val="21"/>
          <w:lang w:val="zh-CN"/>
        </w:rPr>
        <w:t>③具有履行合同所必需的设备和专业技术能力；</w:t>
      </w:r>
    </w:p>
    <w:p>
      <w:pPr>
        <w:autoSpaceDN w:val="0"/>
        <w:spacing w:line="360" w:lineRule="auto"/>
        <w:ind w:firstLine="218" w:firstLineChars="104"/>
        <w:rPr>
          <w:rFonts w:ascii="Arial" w:hAnsi="Arial" w:cs="Arial"/>
          <w:bCs/>
          <w:szCs w:val="21"/>
          <w:lang w:val="zh-CN"/>
        </w:rPr>
      </w:pPr>
      <w:r>
        <w:rPr>
          <w:rFonts w:ascii="Arial" w:hAnsi="Arial" w:cs="Arial"/>
          <w:bCs/>
          <w:szCs w:val="21"/>
          <w:lang w:val="zh-CN"/>
        </w:rPr>
        <w:t>④有依法缴纳税收和社会保障资金的良好记录；</w:t>
      </w:r>
    </w:p>
    <w:p>
      <w:pPr>
        <w:autoSpaceDN w:val="0"/>
        <w:spacing w:line="360" w:lineRule="auto"/>
        <w:ind w:firstLine="218" w:firstLineChars="104"/>
        <w:rPr>
          <w:rFonts w:ascii="Arial" w:hAnsi="Arial" w:cs="Arial"/>
          <w:bCs/>
          <w:szCs w:val="21"/>
          <w:lang w:val="zh-CN"/>
        </w:rPr>
      </w:pPr>
      <w:r>
        <w:rPr>
          <w:rFonts w:ascii="Arial" w:hAnsi="Arial" w:cs="Arial"/>
          <w:bCs/>
          <w:szCs w:val="21"/>
          <w:lang w:val="zh-CN"/>
        </w:rPr>
        <w:t>⑤参加政府采购活动前三年内，在经营活动中没有重大违法记录；</w:t>
      </w:r>
    </w:p>
    <w:p>
      <w:pPr>
        <w:widowControl w:val="0"/>
        <w:autoSpaceDE w:val="0"/>
        <w:autoSpaceDN w:val="0"/>
        <w:spacing w:line="360" w:lineRule="auto"/>
        <w:ind w:firstLine="218" w:firstLineChars="104"/>
        <w:rPr>
          <w:rFonts w:ascii="Arial" w:hAnsi="Arial" w:cs="Arial"/>
          <w:bCs/>
          <w:szCs w:val="21"/>
          <w:lang w:val="zh-CN"/>
        </w:rPr>
      </w:pPr>
      <w:r>
        <w:rPr>
          <w:rFonts w:ascii="Arial" w:hAnsi="Arial" w:cs="Arial"/>
          <w:bCs/>
          <w:szCs w:val="21"/>
          <w:lang w:val="zh-CN"/>
        </w:rPr>
        <w:t>⑥法律、行政法规规定的其他条件。</w:t>
      </w:r>
    </w:p>
    <w:p>
      <w:pPr>
        <w:tabs>
          <w:tab w:val="left" w:pos="3210"/>
        </w:tabs>
        <w:spacing w:line="360" w:lineRule="auto"/>
        <w:rPr>
          <w:rFonts w:ascii="宋体" w:hAnsi="宋体"/>
          <w:bCs/>
          <w:lang w:val="zh-CN"/>
        </w:rPr>
      </w:pPr>
      <w:r>
        <w:rPr>
          <w:rFonts w:hint="eastAsia" w:ascii="宋体" w:hAnsi="宋体"/>
          <w:bCs/>
        </w:rPr>
        <w:t>2、</w:t>
      </w:r>
      <w:r>
        <w:rPr>
          <w:rFonts w:hint="eastAsia" w:ascii="宋体" w:hAnsi="宋体"/>
          <w:bCs/>
          <w:lang w:val="zh-CN"/>
        </w:rPr>
        <w:t>本项目不接受联合体投标。</w:t>
      </w:r>
    </w:p>
    <w:p>
      <w:pPr>
        <w:widowControl w:val="0"/>
        <w:autoSpaceDE w:val="0"/>
        <w:autoSpaceDN w:val="0"/>
        <w:spacing w:line="360" w:lineRule="auto"/>
        <w:rPr>
          <w:rFonts w:ascii="宋体" w:hAnsi="宋体" w:cs="Arial"/>
          <w:b/>
        </w:rPr>
      </w:pPr>
      <w:r>
        <w:rPr>
          <w:rFonts w:hint="eastAsia" w:ascii="宋体" w:hAnsi="宋体"/>
          <w:b/>
          <w:lang w:val="zh-CN"/>
        </w:rPr>
        <w:t>二、采购项</w:t>
      </w:r>
      <w:r>
        <w:rPr>
          <w:rFonts w:hint="eastAsia" w:ascii="宋体" w:hAnsi="宋体" w:cs="Arial"/>
          <w:b/>
        </w:rPr>
        <w:t>目技术规格、参数及要求：</w:t>
      </w:r>
    </w:p>
    <w:p>
      <w:pPr>
        <w:tabs>
          <w:tab w:val="left" w:pos="3210"/>
        </w:tabs>
        <w:spacing w:line="360" w:lineRule="auto"/>
        <w:ind w:left="1" w:leftChars="-95" w:hanging="200" w:hangingChars="95"/>
        <w:outlineLvl w:val="0"/>
        <w:rPr>
          <w:rFonts w:ascii="宋体" w:hAnsi="宋体" w:cs="Arial"/>
          <w:b/>
        </w:rPr>
      </w:pPr>
      <w:r>
        <w:rPr>
          <w:rFonts w:hint="eastAsia" w:ascii="宋体" w:hAnsi="宋体" w:cs="Arial"/>
          <w:b/>
          <w:bCs/>
        </w:rPr>
        <w:t>（一）、</w:t>
      </w:r>
      <w:r>
        <w:rPr>
          <w:rFonts w:hint="eastAsia" w:ascii="宋体" w:hAnsi="宋体" w:cs="Arial"/>
          <w:b/>
        </w:rPr>
        <w:t>采购项目需求一览表：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869"/>
        <w:gridCol w:w="992"/>
        <w:gridCol w:w="85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37" w:type="dxa"/>
            <w:vAlign w:val="center"/>
          </w:tcPr>
          <w:p>
            <w:pPr>
              <w:jc w:val="center"/>
              <w:rPr>
                <w:rFonts w:ascii="宋体" w:hAnsi="宋体" w:cs="宋体"/>
                <w:b/>
                <w:bCs/>
                <w:szCs w:val="21"/>
              </w:rPr>
            </w:pPr>
            <w:r>
              <w:rPr>
                <w:rFonts w:hint="eastAsia" w:ascii="宋体" w:hAnsi="宋体" w:cs="宋体"/>
                <w:b/>
                <w:bCs/>
                <w:szCs w:val="21"/>
              </w:rPr>
              <w:t>序号</w:t>
            </w:r>
          </w:p>
        </w:tc>
        <w:tc>
          <w:tcPr>
            <w:tcW w:w="5869" w:type="dxa"/>
            <w:vAlign w:val="center"/>
          </w:tcPr>
          <w:p>
            <w:pPr>
              <w:jc w:val="center"/>
              <w:rPr>
                <w:rFonts w:ascii="宋体" w:hAnsi="宋体" w:cs="宋体"/>
                <w:b/>
                <w:bCs/>
                <w:szCs w:val="21"/>
              </w:rPr>
            </w:pPr>
            <w:r>
              <w:rPr>
                <w:rFonts w:hint="eastAsia" w:ascii="宋体" w:hAnsi="宋体" w:cs="宋体"/>
                <w:b/>
                <w:bCs/>
                <w:szCs w:val="21"/>
              </w:rPr>
              <w:t>项目内容</w:t>
            </w:r>
          </w:p>
        </w:tc>
        <w:tc>
          <w:tcPr>
            <w:tcW w:w="992" w:type="dxa"/>
            <w:vAlign w:val="center"/>
          </w:tcPr>
          <w:p>
            <w:pPr>
              <w:jc w:val="center"/>
              <w:rPr>
                <w:rFonts w:ascii="宋体" w:hAnsi="宋体" w:cs="宋体"/>
                <w:b/>
                <w:bCs/>
                <w:szCs w:val="21"/>
              </w:rPr>
            </w:pPr>
            <w:r>
              <w:rPr>
                <w:rFonts w:hint="eastAsia" w:ascii="宋体" w:hAnsi="宋体" w:cs="宋体"/>
                <w:b/>
                <w:bCs/>
                <w:szCs w:val="21"/>
              </w:rPr>
              <w:t>数量</w:t>
            </w:r>
          </w:p>
        </w:tc>
        <w:tc>
          <w:tcPr>
            <w:tcW w:w="851" w:type="dxa"/>
            <w:vAlign w:val="center"/>
          </w:tcPr>
          <w:p>
            <w:pPr>
              <w:jc w:val="center"/>
              <w:rPr>
                <w:rFonts w:ascii="宋体" w:hAnsi="宋体" w:cs="宋体"/>
                <w:b/>
                <w:bCs/>
                <w:szCs w:val="21"/>
              </w:rPr>
            </w:pPr>
            <w:r>
              <w:rPr>
                <w:rFonts w:hint="eastAsia" w:ascii="宋体" w:hAnsi="宋体" w:cs="宋体"/>
                <w:b/>
                <w:bCs/>
                <w:szCs w:val="21"/>
              </w:rPr>
              <w:t>单位</w:t>
            </w:r>
          </w:p>
        </w:tc>
        <w:tc>
          <w:tcPr>
            <w:tcW w:w="1176" w:type="dxa"/>
          </w:tcPr>
          <w:p>
            <w:pPr>
              <w:jc w:val="center"/>
              <w:rPr>
                <w:rFonts w:ascii="宋体" w:hAnsi="宋体" w:cs="宋体"/>
                <w:b/>
                <w:bCs/>
                <w:szCs w:val="21"/>
              </w:rPr>
            </w:pPr>
            <w:r>
              <w:rPr>
                <w:rFonts w:hint="eastAsia" w:ascii="宋体" w:hAnsi="宋体" w:cs="宋体"/>
                <w:b/>
                <w:bCs/>
                <w:szCs w:val="21"/>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37" w:type="dxa"/>
            <w:vAlign w:val="center"/>
          </w:tcPr>
          <w:p>
            <w:pPr>
              <w:jc w:val="center"/>
              <w:rPr>
                <w:rFonts w:ascii="宋体" w:hAnsi="宋体" w:cs="宋体"/>
                <w:szCs w:val="21"/>
              </w:rPr>
            </w:pPr>
            <w:r>
              <w:rPr>
                <w:rFonts w:hint="eastAsia" w:ascii="宋体" w:hAnsi="宋体" w:cs="宋体"/>
                <w:szCs w:val="21"/>
              </w:rPr>
              <w:t>1</w:t>
            </w:r>
          </w:p>
        </w:tc>
        <w:tc>
          <w:tcPr>
            <w:tcW w:w="5869" w:type="dxa"/>
            <w:vAlign w:val="center"/>
          </w:tcPr>
          <w:p>
            <w:pPr>
              <w:jc w:val="center"/>
              <w:rPr>
                <w:rFonts w:ascii="宋体" w:hAnsi="宋体" w:cs="宋体"/>
                <w:b/>
                <w:bCs/>
                <w:szCs w:val="21"/>
              </w:rPr>
            </w:pPr>
            <w:r>
              <w:rPr>
                <w:rFonts w:hint="eastAsia" w:ascii="Arial" w:hAnsi="Arial" w:cs="Arial"/>
                <w:iCs/>
                <w:szCs w:val="21"/>
              </w:rPr>
              <w:t>智慧仓储与配送实训室升级</w:t>
            </w:r>
          </w:p>
        </w:tc>
        <w:tc>
          <w:tcPr>
            <w:tcW w:w="992" w:type="dxa"/>
            <w:vAlign w:val="center"/>
          </w:tcPr>
          <w:p>
            <w:pPr>
              <w:jc w:val="center"/>
              <w:rPr>
                <w:rFonts w:ascii="宋体" w:hAnsi="宋体" w:cs="宋体"/>
                <w:szCs w:val="21"/>
              </w:rPr>
            </w:pPr>
            <w:r>
              <w:rPr>
                <w:rFonts w:hint="eastAsia" w:ascii="宋体" w:hAnsi="宋体" w:cs="宋体"/>
                <w:szCs w:val="21"/>
              </w:rPr>
              <w:t>1</w:t>
            </w:r>
          </w:p>
        </w:tc>
        <w:tc>
          <w:tcPr>
            <w:tcW w:w="851" w:type="dxa"/>
            <w:vAlign w:val="center"/>
          </w:tcPr>
          <w:p>
            <w:pPr>
              <w:jc w:val="center"/>
              <w:rPr>
                <w:rFonts w:ascii="宋体" w:hAnsi="宋体" w:cs="宋体"/>
                <w:szCs w:val="21"/>
              </w:rPr>
            </w:pPr>
            <w:r>
              <w:rPr>
                <w:rFonts w:hint="eastAsia" w:ascii="宋体" w:hAnsi="宋体" w:cs="宋体"/>
                <w:szCs w:val="21"/>
              </w:rPr>
              <w:t>项</w:t>
            </w:r>
          </w:p>
        </w:tc>
        <w:tc>
          <w:tcPr>
            <w:tcW w:w="1176" w:type="dxa"/>
          </w:tcPr>
          <w:p>
            <w:pPr>
              <w:jc w:val="center"/>
              <w:rPr>
                <w:rFonts w:ascii="宋体" w:hAnsi="宋体" w:cs="宋体"/>
                <w:szCs w:val="21"/>
              </w:rPr>
            </w:pPr>
            <w:r>
              <w:rPr>
                <w:rFonts w:hint="eastAsia" w:ascii="宋体" w:hAnsi="宋体" w:cs="宋体"/>
                <w:szCs w:val="21"/>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549" w:type="dxa"/>
            <w:gridSpan w:val="4"/>
            <w:vAlign w:val="center"/>
          </w:tcPr>
          <w:p>
            <w:pPr>
              <w:jc w:val="center"/>
              <w:rPr>
                <w:rFonts w:ascii="宋体" w:hAnsi="宋体" w:cs="宋体"/>
                <w:szCs w:val="21"/>
              </w:rPr>
            </w:pPr>
            <w:r>
              <w:rPr>
                <w:rFonts w:hint="eastAsia" w:ascii="宋体" w:hAnsi="宋体" w:cs="宋体"/>
                <w:szCs w:val="21"/>
              </w:rPr>
              <w:t>预算总金额</w:t>
            </w:r>
          </w:p>
        </w:tc>
        <w:tc>
          <w:tcPr>
            <w:tcW w:w="1176" w:type="dxa"/>
          </w:tcPr>
          <w:p>
            <w:pPr>
              <w:jc w:val="center"/>
              <w:rPr>
                <w:rFonts w:ascii="宋体" w:hAnsi="宋体" w:cs="宋体"/>
                <w:szCs w:val="21"/>
              </w:rPr>
            </w:pPr>
            <w:r>
              <w:rPr>
                <w:rFonts w:hint="eastAsia" w:ascii="宋体" w:hAnsi="宋体" w:cs="宋体"/>
                <w:szCs w:val="21"/>
              </w:rPr>
              <w:t>140000</w:t>
            </w:r>
          </w:p>
        </w:tc>
      </w:tr>
    </w:tbl>
    <w:p>
      <w:pPr>
        <w:spacing w:line="360" w:lineRule="auto"/>
        <w:rPr>
          <w:rFonts w:ascii="宋体" w:hAnsi="宋体"/>
          <w:b/>
          <w:bCs/>
        </w:rPr>
      </w:pPr>
      <w:r>
        <w:rPr>
          <w:rFonts w:hint="eastAsia" w:ascii="宋体" w:hAnsi="宋体"/>
          <w:b/>
          <w:bCs/>
        </w:rPr>
        <w:t xml:space="preserve">  注： 1）投标人必须对本项目的全部内容进行投标报价，如有缺漏，将导致投标无效；</w:t>
      </w:r>
    </w:p>
    <w:p>
      <w:pPr>
        <w:spacing w:line="360" w:lineRule="auto"/>
        <w:rPr>
          <w:rFonts w:ascii="宋体" w:hAnsi="宋体"/>
          <w:b/>
          <w:bCs/>
        </w:rPr>
      </w:pPr>
      <w:r>
        <w:rPr>
          <w:rFonts w:hint="eastAsia" w:ascii="宋体" w:hAnsi="宋体"/>
          <w:b/>
          <w:bCs/>
        </w:rPr>
        <w:t xml:space="preserve">       2）开标时投标报价超过预算金额为无效投标；</w:t>
      </w:r>
    </w:p>
    <w:p>
      <w:pPr>
        <w:spacing w:line="360" w:lineRule="auto"/>
        <w:rPr>
          <w:rFonts w:ascii="宋体" w:hAnsi="宋体"/>
          <w:b/>
          <w:bCs/>
        </w:rPr>
      </w:pPr>
      <w:r>
        <w:rPr>
          <w:rFonts w:hint="eastAsia" w:ascii="宋体" w:hAnsi="宋体"/>
          <w:b/>
          <w:bCs/>
        </w:rPr>
        <w:t xml:space="preserve">       3）带★号的参数为不可负偏离参数，如有负偏离，将导致投标无效。带▲号的参数为重要技术参数，如有负偏离，将导致严重扣分；其他招标参数要求满足或相当于本次招标的需求；</w:t>
      </w:r>
    </w:p>
    <w:p>
      <w:pPr>
        <w:spacing w:line="360" w:lineRule="auto"/>
        <w:rPr>
          <w:rFonts w:ascii="宋体" w:hAnsi="宋体"/>
          <w:b/>
          <w:bCs/>
        </w:rPr>
      </w:pPr>
      <w:r>
        <w:rPr>
          <w:rFonts w:hint="eastAsia" w:ascii="宋体" w:hAnsi="宋体"/>
          <w:b/>
          <w:bCs/>
        </w:rPr>
        <w:t xml:space="preserve">       4）以下若有提到具体品牌、型号、产地等图片及内容的，均并非指定品牌，没有任何限制性；</w:t>
      </w:r>
    </w:p>
    <w:p>
      <w:pPr>
        <w:spacing w:line="360" w:lineRule="auto"/>
        <w:rPr>
          <w:rFonts w:ascii="宋体" w:hAnsi="宋体"/>
          <w:b/>
          <w:bCs/>
        </w:rPr>
      </w:pPr>
      <w:r>
        <w:rPr>
          <w:rFonts w:hint="eastAsia" w:ascii="宋体" w:hAnsi="宋体"/>
          <w:b/>
          <w:bCs/>
        </w:rPr>
        <w:t xml:space="preserve">       5) 本项目不允许进口设备参与投标。</w:t>
      </w:r>
    </w:p>
    <w:p>
      <w:pPr>
        <w:spacing w:line="360" w:lineRule="auto"/>
        <w:rPr>
          <w:rFonts w:ascii="宋体" w:hAnsi="宋体" w:cs="Arial"/>
          <w:b/>
        </w:rPr>
      </w:pPr>
      <w:r>
        <w:rPr>
          <w:rFonts w:hint="eastAsia" w:ascii="宋体" w:hAnsi="宋体" w:cs="Arial"/>
          <w:b/>
          <w:bCs/>
        </w:rPr>
        <w:t>（三）、</w:t>
      </w:r>
      <w:r>
        <w:rPr>
          <w:rFonts w:hint="eastAsia" w:ascii="宋体" w:hAnsi="宋体" w:cs="Arial"/>
          <w:b/>
        </w:rPr>
        <w:t>采购项目技术规格、参数及要求：</w:t>
      </w:r>
    </w:p>
    <w:tbl>
      <w:tblPr>
        <w:tblStyle w:val="35"/>
        <w:tblW w:w="7209" w:type="pct"/>
        <w:tblInd w:w="-4854" w:type="dxa"/>
        <w:tblLayout w:type="fixed"/>
        <w:tblCellMar>
          <w:top w:w="0" w:type="dxa"/>
          <w:left w:w="108" w:type="dxa"/>
          <w:bottom w:w="0" w:type="dxa"/>
          <w:right w:w="108" w:type="dxa"/>
        </w:tblCellMar>
      </w:tblPr>
      <w:tblGrid>
        <w:gridCol w:w="5281"/>
        <w:gridCol w:w="775"/>
        <w:gridCol w:w="7555"/>
        <w:gridCol w:w="709"/>
        <w:gridCol w:w="706"/>
      </w:tblGrid>
      <w:tr>
        <w:tblPrEx>
          <w:tblCellMar>
            <w:top w:w="0" w:type="dxa"/>
            <w:left w:w="108" w:type="dxa"/>
            <w:bottom w:w="0" w:type="dxa"/>
            <w:right w:w="108" w:type="dxa"/>
          </w:tblCellMar>
        </w:tblPrEx>
        <w:trPr>
          <w:trHeight w:val="214" w:hRule="atLeast"/>
        </w:trPr>
        <w:tc>
          <w:tcPr>
            <w:tcW w:w="1757" w:type="pct"/>
            <w:tcBorders>
              <w:top w:val="single" w:color="auto" w:sz="4" w:space="0"/>
              <w:left w:val="single" w:color="auto" w:sz="4" w:space="0"/>
              <w:bottom w:val="single" w:color="auto" w:sz="4" w:space="0"/>
              <w:right w:val="single" w:color="auto" w:sz="4" w:space="0"/>
            </w:tcBorders>
          </w:tcPr>
          <w:p>
            <w:pPr>
              <w:jc w:val="both"/>
              <w:rPr>
                <w:rFonts w:ascii="宋体" w:hAnsi="宋体" w:cs="宋体"/>
                <w:b/>
                <w:szCs w:val="21"/>
              </w:rPr>
            </w:pPr>
            <w:r>
              <w:rPr>
                <w:rFonts w:hint="eastAsia" w:ascii="宋体" w:hAnsi="宋体" w:cs="宋体"/>
                <w:b/>
                <w:szCs w:val="21"/>
              </w:rPr>
              <w:t>序号</w:t>
            </w:r>
          </w:p>
        </w:tc>
        <w:tc>
          <w:tcPr>
            <w:tcW w:w="258" w:type="pct"/>
            <w:tcBorders>
              <w:top w:val="single" w:color="auto" w:sz="4" w:space="0"/>
              <w:left w:val="nil"/>
              <w:bottom w:val="single" w:color="auto" w:sz="4" w:space="0"/>
              <w:right w:val="single" w:color="auto" w:sz="4" w:space="0"/>
            </w:tcBorders>
          </w:tcPr>
          <w:p>
            <w:pPr>
              <w:jc w:val="both"/>
              <w:rPr>
                <w:rFonts w:ascii="宋体" w:hAnsi="宋体" w:cs="宋体"/>
                <w:b/>
                <w:szCs w:val="21"/>
              </w:rPr>
            </w:pPr>
            <w:r>
              <w:rPr>
                <w:rFonts w:hint="eastAsia" w:ascii="宋体" w:hAnsi="宋体" w:cs="宋体"/>
                <w:b/>
                <w:szCs w:val="21"/>
              </w:rPr>
              <w:t>设备名称</w:t>
            </w:r>
          </w:p>
        </w:tc>
        <w:tc>
          <w:tcPr>
            <w:tcW w:w="2514" w:type="pct"/>
            <w:tcBorders>
              <w:top w:val="single" w:color="auto" w:sz="4" w:space="0"/>
              <w:left w:val="nil"/>
              <w:bottom w:val="single" w:color="auto" w:sz="4" w:space="0"/>
              <w:right w:val="single" w:color="auto" w:sz="4" w:space="0"/>
            </w:tcBorders>
          </w:tcPr>
          <w:p>
            <w:pPr>
              <w:jc w:val="both"/>
              <w:rPr>
                <w:rFonts w:ascii="宋体" w:hAnsi="宋体" w:cs="宋体"/>
                <w:b/>
                <w:szCs w:val="21"/>
              </w:rPr>
            </w:pPr>
            <w:r>
              <w:rPr>
                <w:rFonts w:hint="eastAsia" w:ascii="宋体" w:hAnsi="宋体" w:cs="宋体"/>
                <w:b/>
                <w:szCs w:val="21"/>
              </w:rPr>
              <w:t>性能指标和要求</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b/>
                <w:szCs w:val="21"/>
              </w:rPr>
            </w:pPr>
            <w:r>
              <w:rPr>
                <w:rFonts w:hint="eastAsia" w:ascii="宋体" w:hAnsi="宋体" w:cs="宋体"/>
                <w:b/>
                <w:szCs w:val="21"/>
              </w:rPr>
              <w:t>单位</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b/>
                <w:szCs w:val="21"/>
              </w:rPr>
            </w:pPr>
            <w:r>
              <w:rPr>
                <w:rFonts w:hint="eastAsia" w:ascii="宋体" w:hAnsi="宋体" w:cs="宋体"/>
                <w:b/>
                <w:szCs w:val="21"/>
              </w:rPr>
              <w:t>数量</w:t>
            </w:r>
          </w:p>
        </w:tc>
      </w:tr>
      <w:tr>
        <w:tblPrEx>
          <w:tblCellMar>
            <w:top w:w="0" w:type="dxa"/>
            <w:left w:w="108" w:type="dxa"/>
            <w:bottom w:w="0" w:type="dxa"/>
            <w:right w:w="108" w:type="dxa"/>
          </w:tblCellMar>
        </w:tblPrEx>
        <w:trPr>
          <w:trHeight w:val="214" w:hRule="atLeast"/>
        </w:trPr>
        <w:tc>
          <w:tcPr>
            <w:tcW w:w="1757" w:type="pct"/>
            <w:tcBorders>
              <w:top w:val="single" w:color="auto" w:sz="4" w:space="0"/>
              <w:left w:val="single" w:color="auto" w:sz="4" w:space="0"/>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1</w:t>
            </w:r>
          </w:p>
        </w:tc>
        <w:tc>
          <w:tcPr>
            <w:tcW w:w="258"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智慧物流综合技能软件（升级）</w:t>
            </w:r>
          </w:p>
        </w:tc>
        <w:tc>
          <w:tcPr>
            <w:tcW w:w="2514" w:type="pct"/>
            <w:tcBorders>
              <w:top w:val="single" w:color="auto" w:sz="4" w:space="0"/>
              <w:left w:val="nil"/>
              <w:bottom w:val="single" w:color="auto" w:sz="4" w:space="0"/>
              <w:right w:val="single" w:color="auto" w:sz="4" w:space="0"/>
            </w:tcBorders>
          </w:tcPr>
          <w:p>
            <w:pPr>
              <w:jc w:val="both"/>
              <w:rPr>
                <w:rFonts w:ascii="宋体" w:hAnsi="宋体" w:cs="宋体"/>
                <w:b/>
                <w:szCs w:val="21"/>
              </w:rPr>
            </w:pPr>
            <w:r>
              <w:rPr>
                <w:rFonts w:hint="eastAsia" w:ascii="宋体" w:hAnsi="宋体" w:cs="宋体"/>
                <w:b/>
                <w:szCs w:val="21"/>
              </w:rPr>
              <w:t>一、升级软件要求</w:t>
            </w:r>
          </w:p>
          <w:p>
            <w:pPr>
              <w:jc w:val="both"/>
              <w:rPr>
                <w:rFonts w:ascii="宋体" w:hAnsi="宋体" w:cs="宋体"/>
                <w:szCs w:val="21"/>
              </w:rPr>
            </w:pPr>
            <w:r>
              <w:rPr>
                <w:rFonts w:hint="eastAsia" w:ascii="宋体" w:hAnsi="宋体" w:cs="宋体"/>
                <w:szCs w:val="21"/>
              </w:rPr>
              <w:t>软件集成了云方案、仓储实训于一体，通过软硬件相结合，能够无缝对接电子标签拣选台车、立体仓库、电子标签和手持设备和穿戴设备，更直观，更容易被学生理解吸收，软件流程是按照国家标准来设计制定，高度模拟真实生产过程，让学生认识生产流程，从而达到提升教学效果的目的。</w:t>
            </w:r>
          </w:p>
          <w:p>
            <w:pPr>
              <w:jc w:val="both"/>
              <w:rPr>
                <w:rFonts w:ascii="宋体" w:hAnsi="宋体" w:cs="宋体"/>
                <w:b/>
                <w:szCs w:val="21"/>
              </w:rPr>
            </w:pPr>
            <w:r>
              <w:rPr>
                <w:rFonts w:hint="eastAsia" w:ascii="宋体" w:hAnsi="宋体" w:cs="宋体"/>
                <w:b/>
                <w:szCs w:val="21"/>
              </w:rPr>
              <w:t>二、升级模块功能要求：</w:t>
            </w:r>
          </w:p>
          <w:p>
            <w:pPr>
              <w:jc w:val="both"/>
              <w:rPr>
                <w:rFonts w:ascii="宋体" w:hAnsi="宋体" w:cs="宋体"/>
                <w:szCs w:val="21"/>
              </w:rPr>
            </w:pPr>
            <w:r>
              <w:rPr>
                <w:rFonts w:hint="eastAsia" w:ascii="宋体" w:hAnsi="宋体" w:cs="宋体"/>
                <w:szCs w:val="21"/>
              </w:rPr>
              <w:t>1.商贸出库：商贸出库业务工作流程的管理维护及出库核心作业的管理。包括通过RF或穿戴设备拣货流程、重型货架拣货、重型货架（散货）播种、立库/电子标签拣货、立库/电子标签接收、阁楼货架拣货、阁楼式对BtoC播种、拣货单打印等。</w:t>
            </w:r>
          </w:p>
          <w:p>
            <w:pPr>
              <w:jc w:val="both"/>
              <w:rPr>
                <w:rFonts w:ascii="宋体" w:hAnsi="宋体" w:cs="宋体"/>
                <w:szCs w:val="21"/>
              </w:rPr>
            </w:pPr>
            <w:r>
              <w:rPr>
                <w:rFonts w:hint="eastAsia" w:ascii="宋体" w:hAnsi="宋体" w:cs="宋体"/>
                <w:szCs w:val="21"/>
              </w:rPr>
              <w:t>2.电商出库：电商出库流程的管理维护及出库核心作业的操作管理。包括接收订单，拣货单打印，出库拣选，智能播种，电子面单打印等。</w:t>
            </w:r>
          </w:p>
          <w:p>
            <w:pPr>
              <w:jc w:val="both"/>
              <w:rPr>
                <w:rFonts w:ascii="宋体" w:hAnsi="宋体" w:cs="宋体"/>
                <w:szCs w:val="21"/>
              </w:rPr>
            </w:pPr>
            <w:r>
              <w:rPr>
                <w:rFonts w:hint="eastAsia" w:ascii="宋体" w:hAnsi="宋体" w:cs="宋体"/>
                <w:szCs w:val="21"/>
              </w:rPr>
              <w:t>3、软件配套教学资源动画游戏</w:t>
            </w:r>
          </w:p>
          <w:p>
            <w:pPr>
              <w:jc w:val="both"/>
              <w:rPr>
                <w:rFonts w:ascii="宋体" w:hAnsi="宋体" w:cs="宋体"/>
                <w:szCs w:val="21"/>
              </w:rPr>
            </w:pPr>
            <w:r>
              <w:rPr>
                <w:rFonts w:hint="eastAsia" w:ascii="宋体" w:hAnsi="宋体" w:cs="宋体"/>
                <w:szCs w:val="21"/>
              </w:rPr>
              <w:t>3.1、四号定位法模拟货物上架</w:t>
            </w:r>
          </w:p>
          <w:p>
            <w:pPr>
              <w:jc w:val="both"/>
              <w:rPr>
                <w:rFonts w:ascii="宋体" w:hAnsi="宋体" w:cs="宋体"/>
                <w:szCs w:val="21"/>
              </w:rPr>
            </w:pPr>
            <w:r>
              <w:rPr>
                <w:rFonts w:hint="eastAsia" w:ascii="宋体" w:hAnsi="宋体" w:cs="宋体"/>
                <w:szCs w:val="21"/>
              </w:rPr>
              <w:t>该游戏为设定两种游戏场景，一个是库房，一个是货场，学生可以登录到不同的场景中根据语音提示及右下角货物的位置号码，把货物放置到指定位置。在库房或货场场景规定时间内答题操作完，系统会自动提交并给出成绩并判断是否及格。通过游戏让学生了解四号定位的含义，掌握物资四号定位的放置方法，掌握货场和库房四号定位表示的区别。</w:t>
            </w:r>
          </w:p>
          <w:p>
            <w:pPr>
              <w:jc w:val="both"/>
              <w:rPr>
                <w:rFonts w:ascii="宋体" w:hAnsi="宋体" w:cs="宋体"/>
                <w:szCs w:val="21"/>
              </w:rPr>
            </w:pPr>
            <w:r>
              <w:rPr>
                <w:rFonts w:hint="eastAsia" w:ascii="宋体" w:hAnsi="宋体" w:cs="宋体"/>
                <w:szCs w:val="21"/>
              </w:rPr>
              <w:t>3.2、摘果法播种法捡货策略</w:t>
            </w:r>
          </w:p>
          <w:p>
            <w:pPr>
              <w:jc w:val="both"/>
              <w:rPr>
                <w:rFonts w:ascii="宋体" w:hAnsi="宋体" w:cs="宋体"/>
                <w:szCs w:val="21"/>
              </w:rPr>
            </w:pPr>
            <w:r>
              <w:rPr>
                <w:rFonts w:hint="eastAsia" w:ascii="宋体" w:hAnsi="宋体" w:cs="宋体"/>
                <w:szCs w:val="21"/>
              </w:rPr>
              <w:t>游戏描述：该游戏模拟仓储区，暂存区，设置两种拣货策略，摘果法和播种法。游戏开始时学生可自主选择叉车、地牛或手推车。在摘果法拣货游戏中，学生通过电脑出具的出库单，鼠标左键点击商品并拖放到工具栏设备上，输入对应商品的数量，点击确定，完成相应商品的下架，再把装有货物的设备拖放到暂存区，完成装货，最后进行出库拣选确认。在播种法游戏中，首先要将出库单进行汇总操作，然后选择任意设备，根据汇总后的出库单拣选相应的货物，完成货物的下架装车，最后将货物放置暂存区，完成拣选操作。学生分别运用摘果法或播种法完成出库作业，可以直观地感受两种方法的区别和联系。</w:t>
            </w:r>
          </w:p>
          <w:p>
            <w:pPr>
              <w:jc w:val="both"/>
              <w:rPr>
                <w:rFonts w:ascii="宋体" w:hAnsi="宋体" w:cs="宋体"/>
                <w:szCs w:val="21"/>
              </w:rPr>
            </w:pPr>
            <w:r>
              <w:rPr>
                <w:rFonts w:hint="eastAsia" w:ascii="宋体" w:hAnsi="宋体" w:cs="宋体"/>
                <w:szCs w:val="21"/>
              </w:rPr>
              <w:t>3.3、验货</w:t>
            </w:r>
          </w:p>
          <w:p>
            <w:pPr>
              <w:jc w:val="both"/>
              <w:rPr>
                <w:rFonts w:ascii="宋体" w:hAnsi="宋体" w:cs="宋体"/>
                <w:szCs w:val="21"/>
              </w:rPr>
            </w:pPr>
            <w:r>
              <w:rPr>
                <w:rFonts w:hint="eastAsia" w:ascii="宋体" w:hAnsi="宋体" w:cs="宋体"/>
                <w:szCs w:val="21"/>
              </w:rPr>
              <w:t>游戏描述：该游戏为情景交互动画，学生进入游戏后，首先查看入库通知单，根据入库通知单货物信息进行一一验货操作，且相关物品必须随机抽取出现。对于验货通过的货品放置仓储区，问题商品放置暂存区，最后根据验收货物生成收货单，系统自动提示验收结果。通过对易碎品，食品，危险品等进行验货练习，让学生掌握不同货物的验收方法。</w:t>
            </w:r>
          </w:p>
          <w:p>
            <w:pPr>
              <w:jc w:val="both"/>
              <w:rPr>
                <w:rFonts w:ascii="宋体" w:hAnsi="宋体" w:cs="宋体"/>
                <w:szCs w:val="21"/>
              </w:rPr>
            </w:pPr>
            <w:r>
              <w:rPr>
                <w:rFonts w:hint="eastAsia" w:ascii="宋体" w:hAnsi="宋体" w:cs="宋体"/>
                <w:szCs w:val="21"/>
              </w:rPr>
              <w:t>动画操作分为验货区、暂存区、仓储区，各区域根据入库通知单（至少10种货品，总数量不少于20个）进行数据指引操作，入库</w:t>
            </w:r>
          </w:p>
          <w:p>
            <w:pPr>
              <w:jc w:val="both"/>
              <w:rPr>
                <w:rFonts w:ascii="宋体" w:hAnsi="宋体" w:cs="宋体"/>
                <w:szCs w:val="21"/>
              </w:rPr>
            </w:pPr>
            <w:r>
              <w:rPr>
                <w:rFonts w:hint="eastAsia" w:ascii="宋体" w:hAnsi="宋体" w:cs="宋体"/>
                <w:szCs w:val="21"/>
              </w:rPr>
              <w:t>3.4、库存管理EOQ</w:t>
            </w:r>
          </w:p>
          <w:p>
            <w:pPr>
              <w:jc w:val="both"/>
              <w:rPr>
                <w:rFonts w:ascii="宋体" w:hAnsi="宋体" w:cs="宋体"/>
                <w:szCs w:val="21"/>
              </w:rPr>
            </w:pPr>
            <w:r>
              <w:rPr>
                <w:rFonts w:hint="eastAsia" w:ascii="宋体" w:hAnsi="宋体" w:cs="宋体"/>
                <w:szCs w:val="21"/>
              </w:rPr>
              <w:t>游戏描述：该游戏为情景交互动画，学生通过观看情境动画，自主学习库存管理EOQ的计算方法，动画播放结束后利用答题练习的方式检验学习效果，答题结束后提示正确答案。通过游戏的反复练习，学生根据实际情景能够计算出最优的订货量和总的成本。</w:t>
            </w:r>
          </w:p>
          <w:p>
            <w:pPr>
              <w:jc w:val="both"/>
              <w:rPr>
                <w:rFonts w:ascii="宋体" w:hAnsi="宋体" w:cs="宋体"/>
                <w:szCs w:val="21"/>
              </w:rPr>
            </w:pPr>
            <w:r>
              <w:rPr>
                <w:rFonts w:hint="eastAsia" w:ascii="宋体" w:hAnsi="宋体" w:cs="宋体"/>
                <w:szCs w:val="21"/>
              </w:rPr>
              <w:t>3.5、物资盘点</w:t>
            </w:r>
          </w:p>
          <w:p>
            <w:pPr>
              <w:jc w:val="both"/>
              <w:rPr>
                <w:rFonts w:ascii="宋体" w:hAnsi="宋体" w:cs="宋体"/>
                <w:szCs w:val="21"/>
              </w:rPr>
            </w:pPr>
            <w:r>
              <w:rPr>
                <w:rFonts w:hint="eastAsia" w:ascii="宋体" w:hAnsi="宋体" w:cs="宋体"/>
                <w:szCs w:val="21"/>
              </w:rPr>
              <w:t>游戏描述：该游戏为物资盘点模拟及问题处理，进入游戏后，学生查看仓库中货品的库存信息，出入库单历史记录，模拟盘点历史数据，根据数据信息选择不同的试题进行库存模拟盘点试题练习，如出错，会提示重新操作。学生能够根据出入库根据出入库单进行数量的调动，调动完毕后模拟盘点。并能够核对账物数量。</w:t>
            </w:r>
          </w:p>
          <w:p>
            <w:pPr>
              <w:jc w:val="both"/>
              <w:rPr>
                <w:rFonts w:ascii="宋体" w:hAnsi="宋体" w:cs="宋体"/>
                <w:szCs w:val="21"/>
              </w:rPr>
            </w:pPr>
            <w:r>
              <w:rPr>
                <w:rFonts w:hint="eastAsia" w:ascii="宋体" w:hAnsi="宋体" w:cs="宋体"/>
                <w:szCs w:val="21"/>
              </w:rPr>
              <w:t>信息至少包含：仓库库存信息、出入库历史记录、模拟盘点历史。</w:t>
            </w:r>
          </w:p>
          <w:p>
            <w:pPr>
              <w:jc w:val="both"/>
              <w:rPr>
                <w:rFonts w:ascii="宋体" w:hAnsi="宋体" w:cs="宋体"/>
                <w:szCs w:val="21"/>
              </w:rPr>
            </w:pPr>
            <w:r>
              <w:rPr>
                <w:rFonts w:hint="eastAsia" w:ascii="宋体" w:hAnsi="宋体" w:cs="宋体"/>
                <w:szCs w:val="21"/>
              </w:rPr>
              <w:t>仓库库存信息应包含（重型货架库存、立体库区库存、电子标签货架区库存、阁楼货架区库存、重型货架散货区库存）</w:t>
            </w:r>
          </w:p>
          <w:p>
            <w:pPr>
              <w:jc w:val="both"/>
              <w:rPr>
                <w:rFonts w:ascii="宋体" w:hAnsi="宋体" w:cs="宋体"/>
                <w:szCs w:val="21"/>
              </w:rPr>
            </w:pPr>
            <w:r>
              <w:rPr>
                <w:rFonts w:hint="eastAsia" w:ascii="宋体" w:hAnsi="宋体" w:cs="宋体"/>
                <w:szCs w:val="21"/>
              </w:rPr>
              <w:t>3.6.、灭火器选用策略</w:t>
            </w:r>
          </w:p>
          <w:p>
            <w:pPr>
              <w:jc w:val="both"/>
              <w:rPr>
                <w:rFonts w:ascii="宋体" w:hAnsi="宋体" w:cs="宋体"/>
                <w:szCs w:val="21"/>
              </w:rPr>
            </w:pPr>
            <w:r>
              <w:rPr>
                <w:rFonts w:hint="eastAsia" w:ascii="宋体" w:hAnsi="宋体" w:cs="宋体"/>
                <w:szCs w:val="21"/>
              </w:rPr>
              <w:t>游戏描述：该游戏通过电脑从题库里随机出具的着火货物，（火灾分为：A类火灾：指固体物质火灾。B类火灾：指液体或可熔化的固体物质火灾。C类火灾：指气体火灾。D类火灾：指金属火灾。E类火灾：带电火灾。）学生要在一分钟内选择正确的灭火器材灭火。选错或超时均为错误。本课程是让学习者掌握不同货物着火时可以应用的灭火器类型以及不能应用的灭火器类型。</w:t>
            </w:r>
          </w:p>
          <w:p>
            <w:pPr>
              <w:jc w:val="both"/>
              <w:rPr>
                <w:rFonts w:ascii="宋体" w:hAnsi="宋体" w:cs="宋体"/>
                <w:szCs w:val="21"/>
              </w:rPr>
            </w:pPr>
            <w:r>
              <w:rPr>
                <w:rFonts w:hint="eastAsia" w:ascii="宋体" w:hAnsi="宋体" w:cs="宋体"/>
                <w:szCs w:val="21"/>
              </w:rPr>
              <w:t>4、物流移动学习模块</w:t>
            </w:r>
          </w:p>
          <w:p>
            <w:pPr>
              <w:jc w:val="both"/>
              <w:rPr>
                <w:rFonts w:ascii="宋体" w:hAnsi="宋体" w:cs="宋体"/>
                <w:szCs w:val="21"/>
              </w:rPr>
            </w:pPr>
            <w:r>
              <w:rPr>
                <w:rFonts w:hint="eastAsia" w:ascii="宋体" w:hAnsi="宋体" w:cs="宋体"/>
                <w:szCs w:val="21"/>
              </w:rPr>
              <w:t>软件分为移动端和PC端功能。</w:t>
            </w:r>
          </w:p>
          <w:p>
            <w:pPr>
              <w:jc w:val="both"/>
              <w:rPr>
                <w:rFonts w:ascii="宋体" w:hAnsi="宋体" w:cs="宋体"/>
                <w:szCs w:val="21"/>
              </w:rPr>
            </w:pPr>
            <w:r>
              <w:rPr>
                <w:rFonts w:hint="eastAsia" w:ascii="宋体" w:hAnsi="宋体" w:cs="宋体"/>
                <w:szCs w:val="21"/>
              </w:rPr>
              <w:t>移动端：</w:t>
            </w:r>
          </w:p>
          <w:p>
            <w:pPr>
              <w:jc w:val="both"/>
              <w:rPr>
                <w:rFonts w:ascii="宋体" w:hAnsi="宋体" w:cs="宋体"/>
                <w:szCs w:val="21"/>
              </w:rPr>
            </w:pPr>
            <w:r>
              <w:rPr>
                <w:rFonts w:hint="eastAsia" w:ascii="宋体" w:hAnsi="宋体" w:cs="宋体"/>
                <w:szCs w:val="21"/>
              </w:rPr>
              <w:t>4.1、角色设置：包括超级管理员、教师端、学生端，根据角色不同设定不同权限，不同角色所显示的功能模块和操作功能也不同，可有效进行角色的区分。</w:t>
            </w:r>
          </w:p>
          <w:p>
            <w:pPr>
              <w:jc w:val="both"/>
              <w:rPr>
                <w:rFonts w:ascii="宋体" w:hAnsi="宋体" w:cs="宋体"/>
                <w:szCs w:val="21"/>
              </w:rPr>
            </w:pPr>
            <w:r>
              <w:rPr>
                <w:rFonts w:hint="eastAsia" w:ascii="宋体" w:hAnsi="宋体" w:cs="宋体"/>
                <w:szCs w:val="21"/>
              </w:rPr>
              <w:t>4.2、用户设置：对个人信息进行详细设置，包括头像，微信号码，手机号码、班级信息等的设置。</w:t>
            </w:r>
          </w:p>
          <w:p>
            <w:pPr>
              <w:jc w:val="both"/>
              <w:rPr>
                <w:rFonts w:ascii="宋体" w:hAnsi="宋体" w:cs="宋体"/>
                <w:szCs w:val="21"/>
              </w:rPr>
            </w:pPr>
            <w:r>
              <w:rPr>
                <w:rFonts w:hint="eastAsia" w:ascii="宋体" w:hAnsi="宋体" w:cs="宋体"/>
                <w:szCs w:val="21"/>
              </w:rPr>
              <w:t>4.3、公告管理：管理员、教师对班级发布通知或信息公告，可选定一个或多个班级进行发送，学生在学生端随时接受，查看信息，平台可支持查看消息的发送状态（已读、未读）。</w:t>
            </w:r>
          </w:p>
          <w:p>
            <w:pPr>
              <w:jc w:val="both"/>
              <w:rPr>
                <w:rFonts w:ascii="宋体" w:hAnsi="宋体" w:cs="宋体"/>
                <w:szCs w:val="21"/>
              </w:rPr>
            </w:pPr>
            <w:r>
              <w:rPr>
                <w:rFonts w:hint="eastAsia" w:ascii="宋体" w:hAnsi="宋体" w:cs="宋体"/>
                <w:szCs w:val="21"/>
              </w:rPr>
              <w:t>4.4、即时通讯：系统可支持文字，图片，语音等消息类型，并可显示消息的送达状态；可创建会话，更新会话资料，添加会话成员，支持单聊和群聊会话模式，可列出单个用户的会话记录；支持长连接和APN推送。</w:t>
            </w:r>
          </w:p>
          <w:p>
            <w:pPr>
              <w:jc w:val="both"/>
              <w:rPr>
                <w:rFonts w:ascii="宋体" w:hAnsi="宋体" w:cs="宋体"/>
                <w:szCs w:val="21"/>
              </w:rPr>
            </w:pPr>
            <w:r>
              <w:rPr>
                <w:rFonts w:hint="eastAsia" w:ascii="宋体" w:hAnsi="宋体" w:cs="宋体"/>
                <w:szCs w:val="21"/>
              </w:rPr>
              <w:t>4.5、流媒体展现：通过H5与图、文，动画形式相结合的方式，展示院校师资信息，实验室功能，实训流程，资源内容及知识点，形象生动，避免枯燥。</w:t>
            </w:r>
          </w:p>
          <w:p>
            <w:pPr>
              <w:jc w:val="both"/>
              <w:rPr>
                <w:rFonts w:ascii="宋体" w:hAnsi="宋体" w:cs="宋体"/>
                <w:szCs w:val="21"/>
              </w:rPr>
            </w:pPr>
            <w:r>
              <w:rPr>
                <w:rFonts w:hint="eastAsia" w:ascii="宋体" w:hAnsi="宋体" w:cs="宋体"/>
                <w:szCs w:val="21"/>
              </w:rPr>
              <w:t>4.6、教学管理：教师可制定教学计划，发布实验任务，指定班级和实验室名称，推送与实验内容对应的重点学习内容，学生可通过手机摇一摇方式进行自动签到，系统自动记录汇总考勤情况。</w:t>
            </w:r>
          </w:p>
          <w:p>
            <w:pPr>
              <w:jc w:val="both"/>
              <w:rPr>
                <w:rFonts w:ascii="宋体" w:hAnsi="宋体" w:cs="宋体"/>
                <w:szCs w:val="21"/>
              </w:rPr>
            </w:pPr>
            <w:r>
              <w:rPr>
                <w:rFonts w:hint="eastAsia" w:ascii="宋体" w:hAnsi="宋体" w:cs="宋体"/>
                <w:szCs w:val="21"/>
              </w:rPr>
              <w:t>4.7、学习管理：支持随时，随地的在线学习，系统提供了随堂笔记便签，可随时记录学习过程中的问题，并及时在线交流。支持AR图册扫描，学生通过AR扫描特定课本上的插图可以实现相关数字资源和3D动画的演示播放。</w:t>
            </w:r>
          </w:p>
          <w:p>
            <w:pPr>
              <w:jc w:val="both"/>
              <w:rPr>
                <w:rFonts w:ascii="宋体" w:hAnsi="宋体" w:cs="宋体"/>
                <w:szCs w:val="21"/>
              </w:rPr>
            </w:pPr>
            <w:r>
              <w:rPr>
                <w:rFonts w:hint="eastAsia" w:ascii="宋体" w:hAnsi="宋体" w:cs="宋体"/>
                <w:szCs w:val="21"/>
              </w:rPr>
              <w:t>4.8、实验管理：学生接受实验任务后，可使用APP在一定的距离内，通过摇一摇的方式，查看实验中对应设备操作的视频资源，对设备的操作重难点，知识点进行自主化学习，或到此设备上打开APP识别二维码，系统会自动以音频、视频、动画等形式展示教学资源，以加强学生对虚拟设备的认知和学习，并可通过及时通讯与其他在线学生和老师进行讨论。实验结束后，可通过文字和图片形式提交实验报告，系统自动收集学生提交的实验报告至老师并对实验报告评估，在线解答。课后学生可对实验室进行自助预约，根据实验室的使用情况，教师进行审批，提高了实验室的利用率。</w:t>
            </w:r>
          </w:p>
          <w:p>
            <w:pPr>
              <w:jc w:val="both"/>
              <w:rPr>
                <w:rFonts w:ascii="宋体" w:hAnsi="宋体" w:cs="宋体"/>
                <w:szCs w:val="21"/>
              </w:rPr>
            </w:pPr>
            <w:r>
              <w:rPr>
                <w:rFonts w:hint="eastAsia" w:ascii="宋体" w:hAnsi="宋体" w:cs="宋体"/>
                <w:szCs w:val="21"/>
              </w:rPr>
              <w:t>4.9、大数据分析：通过云计算搭载大数据分析系统，对实验课程、学生实验结果按照不同的统计口径、分类汇总、数据分析。</w:t>
            </w:r>
          </w:p>
          <w:p>
            <w:pPr>
              <w:jc w:val="both"/>
              <w:rPr>
                <w:rFonts w:ascii="宋体" w:hAnsi="宋体" w:cs="宋体"/>
                <w:szCs w:val="21"/>
              </w:rPr>
            </w:pPr>
            <w:r>
              <w:rPr>
                <w:rFonts w:hint="eastAsia" w:ascii="宋体" w:hAnsi="宋体" w:cs="宋体"/>
                <w:szCs w:val="21"/>
              </w:rPr>
              <w:t>4.10、T+直播：采用手机直播对实训课进行现场直播，语音与实时画面同步并通过与C端APP和PC两种在线模式进行文字评论互动，直播方可以把直播视频保留至云存储平台，查看回放。</w:t>
            </w:r>
          </w:p>
          <w:p>
            <w:pPr>
              <w:jc w:val="both"/>
              <w:rPr>
                <w:rFonts w:ascii="宋体" w:hAnsi="宋体" w:cs="宋体"/>
                <w:szCs w:val="21"/>
              </w:rPr>
            </w:pPr>
            <w:r>
              <w:rPr>
                <w:rFonts w:hint="eastAsia" w:ascii="宋体" w:hAnsi="宋体" w:cs="宋体"/>
                <w:szCs w:val="21"/>
              </w:rPr>
              <w:t>PC端：</w:t>
            </w:r>
          </w:p>
          <w:p>
            <w:pPr>
              <w:jc w:val="both"/>
              <w:rPr>
                <w:rFonts w:ascii="宋体" w:hAnsi="宋体" w:cs="宋体"/>
                <w:szCs w:val="21"/>
              </w:rPr>
            </w:pPr>
            <w:r>
              <w:rPr>
                <w:rFonts w:hint="eastAsia" w:ascii="宋体" w:hAnsi="宋体" w:cs="宋体"/>
                <w:szCs w:val="21"/>
              </w:rPr>
              <w:t>用户管理：包括教师管理、班级管理，学生信息管理，对用户信息进行增删改查等，支持excel一键信息导入、导出。</w:t>
            </w:r>
          </w:p>
          <w:p>
            <w:pPr>
              <w:jc w:val="both"/>
              <w:rPr>
                <w:rFonts w:ascii="宋体" w:hAnsi="宋体" w:cs="宋体"/>
                <w:szCs w:val="21"/>
              </w:rPr>
            </w:pPr>
            <w:r>
              <w:rPr>
                <w:rFonts w:hint="eastAsia" w:ascii="宋体" w:hAnsi="宋体" w:cs="宋体"/>
                <w:szCs w:val="21"/>
              </w:rPr>
              <w:t>考勤管理：对实验任务，实验考勤数据进行分析，自动生成图表功能，并支持pdf，图片导出功能。</w:t>
            </w:r>
          </w:p>
          <w:p>
            <w:pPr>
              <w:jc w:val="both"/>
              <w:rPr>
                <w:rFonts w:ascii="宋体" w:hAnsi="宋体" w:cs="宋体"/>
                <w:szCs w:val="21"/>
              </w:rPr>
            </w:pPr>
            <w:r>
              <w:rPr>
                <w:rFonts w:hint="eastAsia" w:ascii="宋体" w:hAnsi="宋体" w:cs="宋体"/>
                <w:szCs w:val="21"/>
              </w:rPr>
              <w:t>实验任务管理：教师根据教学大纲、教学计划，自定义设置实验课程，发布实验任务。通过理论与实践相结合的方式，充分利用实验资源，提高教学质量。</w:t>
            </w:r>
          </w:p>
          <w:p>
            <w:pPr>
              <w:jc w:val="both"/>
              <w:rPr>
                <w:rFonts w:ascii="宋体" w:hAnsi="宋体" w:cs="宋体"/>
                <w:szCs w:val="21"/>
              </w:rPr>
            </w:pPr>
            <w:r>
              <w:rPr>
                <w:rFonts w:hint="eastAsia" w:ascii="宋体" w:hAnsi="宋体" w:cs="宋体"/>
                <w:szCs w:val="21"/>
              </w:rPr>
              <w:t>数据分析：系统在自动收集学生实验报告后，会自动生成每一次实验任务的学生实验报告与数据报告，并对实验报告进行统计分析，生成查询报表，及图形图表分析等。</w:t>
            </w:r>
          </w:p>
          <w:p>
            <w:pPr>
              <w:jc w:val="both"/>
              <w:rPr>
                <w:rFonts w:ascii="宋体" w:hAnsi="宋体" w:cs="宋体"/>
                <w:szCs w:val="21"/>
              </w:rPr>
            </w:pPr>
            <w:r>
              <w:rPr>
                <w:rFonts w:hint="eastAsia" w:ascii="宋体" w:hAnsi="宋体" w:cs="宋体"/>
                <w:szCs w:val="21"/>
              </w:rPr>
              <w:t>直播功能：接受APP端在线直播，并评论互动，方便随时调取回放学习.</w:t>
            </w:r>
          </w:p>
          <w:p>
            <w:pPr>
              <w:jc w:val="both"/>
              <w:rPr>
                <w:rFonts w:ascii="宋体" w:hAnsi="宋体" w:cs="宋体"/>
                <w:b/>
                <w:szCs w:val="21"/>
              </w:rPr>
            </w:pPr>
            <w:r>
              <w:rPr>
                <w:rFonts w:hint="eastAsia" w:ascii="宋体" w:hAnsi="宋体" w:cs="宋体"/>
                <w:b/>
                <w:szCs w:val="21"/>
              </w:rPr>
              <w:t>三、原有软件模块和技术参数：</w:t>
            </w:r>
          </w:p>
          <w:p>
            <w:pPr>
              <w:rPr>
                <w:rFonts w:ascii="宋体" w:hAnsi="宋体"/>
                <w:szCs w:val="21"/>
              </w:rPr>
            </w:pPr>
            <w:r>
              <w:rPr>
                <w:rFonts w:hint="eastAsia" w:ascii="宋体" w:hAnsi="宋体"/>
                <w:szCs w:val="21"/>
              </w:rPr>
              <w:t>具备前台与后台管理功能，包括储配软件系统、RF管理软件系统、配送优化软件系统三大模块，拥有基本信息维护、订单管理、入库作业、移库盘点与补货作业、拣货出库作业、地图维护与配送路线规划等功能，具体如下：</w:t>
            </w:r>
          </w:p>
          <w:p>
            <w:pPr>
              <w:rPr>
                <w:rFonts w:ascii="宋体" w:hAnsi="宋体"/>
                <w:szCs w:val="21"/>
              </w:rPr>
            </w:pPr>
            <w:r>
              <w:rPr>
                <w:rFonts w:hint="eastAsia" w:ascii="宋体" w:hAnsi="宋体"/>
                <w:szCs w:val="21"/>
              </w:rPr>
              <w:t>1.物流职业技能测评软件</w:t>
            </w:r>
          </w:p>
          <w:p>
            <w:pPr>
              <w:rPr>
                <w:rFonts w:ascii="宋体" w:hAnsi="宋体"/>
                <w:szCs w:val="21"/>
              </w:rPr>
            </w:pPr>
            <w:r>
              <w:rPr>
                <w:rFonts w:hint="eastAsia" w:ascii="宋体" w:hAnsi="宋体"/>
                <w:szCs w:val="21"/>
              </w:rPr>
              <w:t xml:space="preserve">  物流职业能力测评主要包括物流基础知识的掌握，物流基本设施设备的认知，物流作业流程的了解，物流作业活动安全注意事项的掌握，物流从业人员的职业道德等。全面评价一个团队对物流职业能力的理解和认识。</w:t>
            </w:r>
          </w:p>
          <w:p>
            <w:pPr>
              <w:rPr>
                <w:rFonts w:ascii="宋体" w:hAnsi="宋体"/>
                <w:szCs w:val="21"/>
              </w:rPr>
            </w:pPr>
            <w:r>
              <w:rPr>
                <w:rFonts w:hint="eastAsia" w:ascii="宋体" w:hAnsi="宋体"/>
                <w:szCs w:val="21"/>
              </w:rPr>
              <w:t>2.仓储与配送管理软件</w:t>
            </w:r>
          </w:p>
          <w:p>
            <w:pPr>
              <w:rPr>
                <w:rFonts w:ascii="宋体" w:hAnsi="宋体"/>
                <w:szCs w:val="21"/>
              </w:rPr>
            </w:pPr>
            <w:r>
              <w:rPr>
                <w:rFonts w:hint="eastAsia" w:ascii="宋体" w:hAnsi="宋体"/>
                <w:szCs w:val="21"/>
              </w:rPr>
              <w:t xml:space="preserve">  系统管理:对用户及用户组及客户信息的管理。</w:t>
            </w:r>
          </w:p>
          <w:p>
            <w:pPr>
              <w:rPr>
                <w:rFonts w:ascii="宋体" w:hAnsi="宋体"/>
                <w:szCs w:val="21"/>
              </w:rPr>
            </w:pPr>
            <w:r>
              <w:rPr>
                <w:rFonts w:hint="eastAsia" w:ascii="宋体" w:hAnsi="宋体"/>
                <w:szCs w:val="21"/>
              </w:rPr>
              <w:t xml:space="preserve">  基础资料：对仓库、仓位、托盘、物料信息的初始化；完成一级库、二级库、三级库的建设。</w:t>
            </w:r>
          </w:p>
          <w:p>
            <w:pPr>
              <w:rPr>
                <w:rFonts w:ascii="宋体" w:hAnsi="宋体"/>
                <w:szCs w:val="21"/>
              </w:rPr>
            </w:pPr>
            <w:r>
              <w:rPr>
                <w:rFonts w:hint="eastAsia" w:ascii="宋体" w:hAnsi="宋体"/>
                <w:szCs w:val="21"/>
              </w:rPr>
              <w:t xml:space="preserve">  订单管理：录入入库计划、客户订单、订单处理和补货计划。</w:t>
            </w:r>
          </w:p>
          <w:p>
            <w:pPr>
              <w:rPr>
                <w:rFonts w:ascii="宋体" w:hAnsi="宋体"/>
                <w:szCs w:val="21"/>
              </w:rPr>
            </w:pPr>
            <w:r>
              <w:rPr>
                <w:rFonts w:hint="eastAsia" w:ascii="宋体" w:hAnsi="宋体"/>
                <w:szCs w:val="21"/>
              </w:rPr>
              <w:t>入库管理：入库作业、RF组托上架、入库完成及入库单打印（RF手持的对接应用）。</w:t>
            </w:r>
          </w:p>
          <w:p>
            <w:pPr>
              <w:rPr>
                <w:rFonts w:ascii="宋体" w:hAnsi="宋体"/>
                <w:szCs w:val="21"/>
              </w:rPr>
            </w:pPr>
            <w:r>
              <w:rPr>
                <w:rFonts w:hint="eastAsia" w:ascii="宋体" w:hAnsi="宋体"/>
                <w:szCs w:val="21"/>
              </w:rPr>
              <w:t xml:space="preserve">  出库管理：拣货计划、RF拣货、电子标签拣货、立体仓库拣货、BtoC播种、拣货单打印、出库完成。</w:t>
            </w:r>
          </w:p>
          <w:p>
            <w:pPr>
              <w:rPr>
                <w:rFonts w:ascii="宋体" w:hAnsi="宋体"/>
                <w:szCs w:val="21"/>
              </w:rPr>
            </w:pPr>
            <w:r>
              <w:rPr>
                <w:rFonts w:hint="eastAsia" w:ascii="宋体" w:hAnsi="宋体"/>
                <w:szCs w:val="21"/>
              </w:rPr>
              <w:t>补货管理：补货计划、出库理货、补货入库、补货完成。</w:t>
            </w:r>
          </w:p>
          <w:p>
            <w:pPr>
              <w:rPr>
                <w:rFonts w:ascii="宋体" w:hAnsi="宋体"/>
                <w:szCs w:val="21"/>
              </w:rPr>
            </w:pPr>
            <w:r>
              <w:rPr>
                <w:rFonts w:hint="eastAsia" w:ascii="宋体" w:hAnsi="宋体"/>
                <w:szCs w:val="21"/>
              </w:rPr>
              <w:t>库存管理：库存查询、可视化库存、库存优化设置、库存监控。</w:t>
            </w:r>
          </w:p>
          <w:p>
            <w:pPr>
              <w:rPr>
                <w:rFonts w:ascii="宋体" w:hAnsi="宋体"/>
                <w:szCs w:val="21"/>
              </w:rPr>
            </w:pPr>
            <w:r>
              <w:rPr>
                <w:rFonts w:hint="eastAsia" w:ascii="宋体" w:hAnsi="宋体"/>
                <w:szCs w:val="21"/>
              </w:rPr>
              <w:t>3.RF管理软件</w:t>
            </w:r>
          </w:p>
          <w:p>
            <w:pPr>
              <w:rPr>
                <w:rFonts w:ascii="宋体" w:hAnsi="宋体"/>
                <w:szCs w:val="21"/>
              </w:rPr>
            </w:pPr>
            <w:r>
              <w:rPr>
                <w:rFonts w:hint="eastAsia" w:ascii="宋体" w:hAnsi="宋体"/>
                <w:szCs w:val="21"/>
              </w:rPr>
              <w:t xml:space="preserve">  主要功能包含RF组托，RF上架，RF拣选，RF配送签收等可与RF手持无缝链接。</w:t>
            </w:r>
          </w:p>
          <w:p>
            <w:pPr>
              <w:rPr>
                <w:rFonts w:ascii="宋体" w:hAnsi="宋体"/>
                <w:szCs w:val="21"/>
              </w:rPr>
            </w:pPr>
            <w:r>
              <w:rPr>
                <w:rFonts w:hint="eastAsia" w:ascii="宋体" w:hAnsi="宋体"/>
                <w:szCs w:val="21"/>
              </w:rPr>
              <w:t>4. 电子标签智能拣货台车模块：</w:t>
            </w:r>
          </w:p>
          <w:p>
            <w:pPr>
              <w:ind w:firstLine="315" w:firstLineChars="150"/>
              <w:rPr>
                <w:rFonts w:ascii="宋体" w:hAnsi="宋体"/>
                <w:szCs w:val="21"/>
              </w:rPr>
            </w:pPr>
            <w:r>
              <w:rPr>
                <w:rFonts w:hint="eastAsia" w:ascii="宋体" w:hAnsi="宋体"/>
                <w:szCs w:val="21"/>
              </w:rPr>
              <w:t>实时接收仓储管理软件通过无线网络发送至拣货小车的作业单据，并具有来单提醒功能。作业单据支持拣货作业和补货作业,系统根据单据类型和作业流程给出相应的操作指引，显示作业单据详细信息，其中包括货品信息，如货品编号、货品名称、规格、货品数量等，引导用户分别通过触摸屏和扫描枪操作实现播种式和摘取式电子标签作业方式，最终确认完成作业单。</w:t>
            </w:r>
          </w:p>
          <w:p>
            <w:pPr>
              <w:rPr>
                <w:rFonts w:ascii="宋体" w:hAnsi="宋体"/>
                <w:szCs w:val="21"/>
              </w:rPr>
            </w:pPr>
            <w:r>
              <w:rPr>
                <w:rFonts w:hint="eastAsia" w:ascii="宋体" w:hAnsi="宋体"/>
                <w:szCs w:val="21"/>
              </w:rPr>
              <w:t>5.3D立体库模拟系统</w:t>
            </w:r>
          </w:p>
          <w:p>
            <w:pPr>
              <w:rPr>
                <w:rFonts w:ascii="宋体" w:hAnsi="宋体"/>
                <w:szCs w:val="21"/>
              </w:rPr>
            </w:pPr>
            <w:r>
              <w:rPr>
                <w:rFonts w:hint="eastAsia" w:ascii="宋体" w:hAnsi="宋体"/>
                <w:szCs w:val="21"/>
              </w:rPr>
              <w:t>　模拟立体库的真实操作，能够更好、更真实的反映具体的操作情况，含270个货位不同货物的模拟，通过堆垛机进出的真实操作过程。</w:t>
            </w:r>
          </w:p>
          <w:p>
            <w:pPr>
              <w:rPr>
                <w:rFonts w:ascii="宋体" w:hAnsi="宋体"/>
                <w:szCs w:val="21"/>
              </w:rPr>
            </w:pPr>
            <w:r>
              <w:rPr>
                <w:rFonts w:hint="eastAsia" w:ascii="宋体" w:hAnsi="宋体"/>
                <w:szCs w:val="21"/>
              </w:rPr>
              <w:t>6.配送优化虚拟系统</w:t>
            </w:r>
          </w:p>
          <w:p>
            <w:pPr>
              <w:rPr>
                <w:rFonts w:ascii="宋体" w:hAnsi="宋体"/>
                <w:szCs w:val="21"/>
              </w:rPr>
            </w:pPr>
            <w:r>
              <w:rPr>
                <w:rFonts w:hint="eastAsia" w:ascii="宋体" w:hAnsi="宋体"/>
                <w:szCs w:val="21"/>
              </w:rPr>
              <w:t>　主要功能包括3D地图装置、配送计划、订车作业、车辆配载、线路选择、线路优化、障碍设置、RF配送签收、配送费用计算等。</w:t>
            </w:r>
          </w:p>
          <w:p>
            <w:pPr>
              <w:rPr>
                <w:rFonts w:ascii="宋体" w:hAnsi="宋体"/>
                <w:szCs w:val="21"/>
              </w:rPr>
            </w:pPr>
            <w:r>
              <w:rPr>
                <w:rFonts w:hint="eastAsia" w:ascii="宋体" w:hAnsi="宋体"/>
                <w:szCs w:val="21"/>
              </w:rPr>
              <w:t>管理端：</w:t>
            </w:r>
          </w:p>
          <w:p>
            <w:pPr>
              <w:rPr>
                <w:rFonts w:ascii="宋体" w:hAnsi="宋体"/>
                <w:szCs w:val="21"/>
              </w:rPr>
            </w:pPr>
            <w:r>
              <w:rPr>
                <w:rFonts w:hint="eastAsia" w:ascii="宋体" w:hAnsi="宋体"/>
                <w:szCs w:val="21"/>
              </w:rPr>
              <w:t>车辆管理：管理配送车辆信息，用于费用计算模块。</w:t>
            </w:r>
          </w:p>
          <w:p>
            <w:pPr>
              <w:rPr>
                <w:rFonts w:ascii="宋体" w:hAnsi="宋体"/>
                <w:szCs w:val="21"/>
              </w:rPr>
            </w:pPr>
            <w:r>
              <w:rPr>
                <w:rFonts w:hint="eastAsia" w:ascii="宋体" w:hAnsi="宋体"/>
                <w:szCs w:val="21"/>
              </w:rPr>
              <w:t>地图上传：3D地图可以由用户上传或者修改</w:t>
            </w:r>
          </w:p>
          <w:p>
            <w:pPr>
              <w:rPr>
                <w:rFonts w:ascii="宋体" w:hAnsi="宋体"/>
                <w:szCs w:val="21"/>
              </w:rPr>
            </w:pPr>
            <w:r>
              <w:rPr>
                <w:rFonts w:hint="eastAsia" w:ascii="宋体" w:hAnsi="宋体"/>
                <w:szCs w:val="21"/>
              </w:rPr>
              <w:t>站点维护：进入配送点设定，首先加载所上传的3D地图为背景，加载系统初始配送中心、配送点（客户地址），这些配送点可移动进行标识在地图上，在左上角也可以加载支点，在地图上放支点进行标识，点击保存对配送中心、配送点、支点描点成功。</w:t>
            </w:r>
          </w:p>
          <w:p>
            <w:pPr>
              <w:rPr>
                <w:rFonts w:ascii="宋体" w:hAnsi="宋体"/>
                <w:szCs w:val="21"/>
              </w:rPr>
            </w:pPr>
            <w:r>
              <w:rPr>
                <w:rFonts w:hint="eastAsia" w:ascii="宋体" w:hAnsi="宋体"/>
                <w:szCs w:val="21"/>
              </w:rPr>
              <w:t>线路维护：进入线路设定，首先加载所上传3D地图及其配送点等信息，根据配送中心及配送点、支点，选择两点进行相连，对线路描述其线路名、公里数。</w:t>
            </w:r>
          </w:p>
          <w:p>
            <w:pPr>
              <w:rPr>
                <w:rFonts w:ascii="宋体" w:hAnsi="宋体"/>
                <w:szCs w:val="21"/>
              </w:rPr>
            </w:pPr>
            <w:r>
              <w:rPr>
                <w:rFonts w:hint="eastAsia" w:ascii="宋体" w:hAnsi="宋体"/>
                <w:szCs w:val="21"/>
              </w:rPr>
              <w:t>设置随机路障：根据己加载的线路，在3D地图中选定某线路为随机路障线路。</w:t>
            </w:r>
          </w:p>
          <w:p>
            <w:pPr>
              <w:rPr>
                <w:rFonts w:ascii="宋体" w:hAnsi="宋体"/>
                <w:szCs w:val="21"/>
              </w:rPr>
            </w:pPr>
            <w:r>
              <w:rPr>
                <w:rFonts w:hint="eastAsia" w:ascii="宋体" w:hAnsi="宋体"/>
                <w:szCs w:val="21"/>
              </w:rPr>
              <w:t>用户端；配送作业单；车辆配载；线路选择；配送模拟；配送费用结算。</w:t>
            </w:r>
          </w:p>
          <w:p>
            <w:pPr>
              <w:jc w:val="both"/>
              <w:rPr>
                <w:rFonts w:ascii="宋体" w:hAnsi="宋体" w:cs="宋体"/>
                <w:szCs w:val="21"/>
              </w:rPr>
            </w:pPr>
          </w:p>
          <w:p>
            <w:pPr>
              <w:jc w:val="both"/>
              <w:rPr>
                <w:rFonts w:ascii="宋体" w:hAnsi="宋体" w:cs="宋体"/>
                <w:szCs w:val="21"/>
              </w:rPr>
            </w:pPr>
            <w:r>
              <w:rPr>
                <w:rFonts w:hint="eastAsia" w:ascii="宋体" w:hAnsi="宋体" w:cs="宋体"/>
                <w:szCs w:val="21"/>
              </w:rPr>
              <w:t>为保证产品及服务质量，须提供产品软件著作权证书。</w:t>
            </w:r>
          </w:p>
          <w:p>
            <w:pPr>
              <w:jc w:val="both"/>
              <w:rPr>
                <w:rFonts w:ascii="宋体" w:hAnsi="宋体" w:cs="宋体"/>
                <w:szCs w:val="21"/>
              </w:rPr>
            </w:pPr>
            <w:r>
              <w:rPr>
                <w:rFonts w:hint="eastAsia" w:ascii="宋体" w:hAnsi="宋体" w:cs="宋体"/>
                <w:szCs w:val="21"/>
              </w:rPr>
              <w:t>▲该软件平台需要与现有仓储与配送实训室软件基础上升级</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套</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1</w:t>
            </w:r>
          </w:p>
        </w:tc>
      </w:tr>
      <w:tr>
        <w:tblPrEx>
          <w:tblCellMar>
            <w:top w:w="0" w:type="dxa"/>
            <w:left w:w="108" w:type="dxa"/>
            <w:bottom w:w="0" w:type="dxa"/>
            <w:right w:w="108" w:type="dxa"/>
          </w:tblCellMar>
        </w:tblPrEx>
        <w:trPr>
          <w:trHeight w:val="214" w:hRule="atLeast"/>
        </w:trPr>
        <w:tc>
          <w:tcPr>
            <w:tcW w:w="1757" w:type="pct"/>
            <w:tcBorders>
              <w:top w:val="single" w:color="auto" w:sz="4" w:space="0"/>
              <w:left w:val="single" w:color="auto" w:sz="4" w:space="0"/>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2</w:t>
            </w:r>
          </w:p>
        </w:tc>
        <w:tc>
          <w:tcPr>
            <w:tcW w:w="258" w:type="pct"/>
            <w:tcBorders>
              <w:top w:val="single" w:color="auto" w:sz="4" w:space="0"/>
              <w:left w:val="nil"/>
              <w:bottom w:val="single" w:color="auto" w:sz="4" w:space="0"/>
              <w:right w:val="single" w:color="auto" w:sz="4" w:space="0"/>
            </w:tcBorders>
          </w:tcPr>
          <w:p>
            <w:pPr>
              <w:adjustRightInd w:val="0"/>
              <w:jc w:val="both"/>
              <w:rPr>
                <w:rFonts w:ascii="宋体" w:hAnsi="宋体" w:cs="宋体"/>
                <w:szCs w:val="21"/>
              </w:rPr>
            </w:pPr>
            <w:r>
              <w:rPr>
                <w:rFonts w:hint="eastAsia" w:ascii="宋体" w:hAnsi="宋体" w:cs="宋体"/>
                <w:szCs w:val="21"/>
              </w:rPr>
              <w:t>智能穿戴设备-手套</w:t>
            </w:r>
          </w:p>
        </w:tc>
        <w:tc>
          <w:tcPr>
            <w:tcW w:w="2514"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1、连接性能：双模式蓝牙，支持EDR及BLE4.0；连接距离：10cm；频段：2.4GHz-2.48GHz；支持MicroUSB标准接口。</w:t>
            </w:r>
          </w:p>
          <w:p>
            <w:pPr>
              <w:jc w:val="both"/>
              <w:rPr>
                <w:rFonts w:ascii="宋体" w:hAnsi="宋体" w:cs="宋体"/>
                <w:szCs w:val="21"/>
              </w:rPr>
            </w:pPr>
            <w:r>
              <w:rPr>
                <w:rFonts w:hint="eastAsia" w:ascii="宋体" w:hAnsi="宋体" w:cs="宋体"/>
                <w:szCs w:val="21"/>
              </w:rPr>
              <w:t>2、扫描性能：图像传感器像素为752*480 CMOS传感器；红光LED(612nm~624nm)，激光650nm对焦；支持1D、2D码制识别；读取角度：水平36°，垂直23°；条码灵敏度：倾斜±55°，偏转±55°，旋转360°；</w:t>
            </w:r>
          </w:p>
          <w:p>
            <w:pPr>
              <w:jc w:val="both"/>
              <w:rPr>
                <w:rFonts w:ascii="宋体" w:hAnsi="宋体" w:cs="宋体"/>
                <w:szCs w:val="21"/>
              </w:rPr>
            </w:pPr>
            <w:r>
              <w:rPr>
                <w:rFonts w:hint="eastAsia" w:ascii="宋体" w:hAnsi="宋体" w:cs="宋体"/>
                <w:szCs w:val="21"/>
              </w:rPr>
              <w:t>3、环境参数：工作稳定-0~50</w:t>
            </w:r>
            <w:r>
              <w:rPr>
                <w:szCs w:val="21"/>
              </w:rPr>
              <w:t>˚</w:t>
            </w:r>
            <w:r>
              <w:rPr>
                <w:rFonts w:hint="eastAsia" w:ascii="宋体" w:hAnsi="宋体" w:cs="宋体"/>
                <w:szCs w:val="21"/>
              </w:rPr>
              <w:t>C；储存稳定-40℃~ +80℃；工作湿度：5% ~ 95%；环境光照：0~100000 lux (自然光)；</w:t>
            </w:r>
          </w:p>
          <w:p>
            <w:pPr>
              <w:jc w:val="both"/>
              <w:rPr>
                <w:rFonts w:ascii="宋体" w:hAnsi="宋体" w:cs="宋体"/>
                <w:szCs w:val="21"/>
              </w:rPr>
            </w:pPr>
            <w:r>
              <w:rPr>
                <w:rFonts w:hint="eastAsia" w:ascii="宋体" w:hAnsi="宋体" w:cs="宋体"/>
                <w:szCs w:val="21"/>
              </w:rPr>
              <w:t>4、电池性能：锂离子聚合物电池，电池容量≥400mAh；平均使用时间≥ 12小时；</w:t>
            </w:r>
          </w:p>
          <w:p>
            <w:pPr>
              <w:jc w:val="both"/>
              <w:rPr>
                <w:rFonts w:ascii="宋体" w:hAnsi="宋体" w:cs="宋体"/>
                <w:szCs w:val="21"/>
              </w:rPr>
            </w:pPr>
            <w:r>
              <w:rPr>
                <w:rFonts w:hint="eastAsia" w:ascii="宋体" w:hAnsi="宋体" w:cs="宋体"/>
                <w:szCs w:val="21"/>
              </w:rPr>
              <w:t>5、其他特性：可扩展扫描触发键，支持多种穿戴方式</w:t>
            </w:r>
          </w:p>
          <w:p>
            <w:pPr>
              <w:pStyle w:val="33"/>
              <w:ind w:firstLine="0" w:firstLineChars="0"/>
              <w:jc w:val="both"/>
              <w:rPr>
                <w:rFonts w:ascii="宋体" w:hAnsi="宋体" w:cs="宋体"/>
                <w:szCs w:val="21"/>
              </w:rPr>
            </w:pPr>
            <w:r>
              <w:rPr>
                <w:rFonts w:hint="eastAsia" w:ascii="宋体" w:hAnsi="宋体" w:cs="宋体"/>
                <w:szCs w:val="21"/>
              </w:rPr>
              <w:t>为保证产品质量，该产品需通过 CE&amp;RED认证，RoHS认证，FCC认证，提供相关证书。</w:t>
            </w:r>
          </w:p>
          <w:p>
            <w:pPr>
              <w:pStyle w:val="33"/>
              <w:ind w:firstLine="0" w:firstLineChars="0"/>
              <w:jc w:val="both"/>
              <w:rPr>
                <w:rFonts w:asciiTheme="minorEastAsia" w:hAnsiTheme="minorEastAsia" w:eastAsiaTheme="minorEastAsia"/>
                <w:color w:val="FF0000"/>
              </w:rPr>
            </w:pPr>
            <w:r>
              <w:rPr>
                <w:rFonts w:hint="eastAsia" w:cs="宋体" w:asciiTheme="minorEastAsia" w:hAnsiTheme="minorEastAsia" w:eastAsiaTheme="minorEastAsia"/>
                <w:szCs w:val="21"/>
              </w:rPr>
              <w:t>▲</w:t>
            </w:r>
            <w:r>
              <w:rPr>
                <w:rFonts w:hint="eastAsia" w:cs="宋体" w:asciiTheme="minorEastAsia" w:hAnsiTheme="minorEastAsia" w:eastAsiaTheme="minorEastAsia"/>
              </w:rPr>
              <w:t>所投产品须与智慧物流综合技能软件进行无缝对接。</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套</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1</w:t>
            </w:r>
          </w:p>
        </w:tc>
      </w:tr>
      <w:tr>
        <w:tblPrEx>
          <w:tblCellMar>
            <w:top w:w="0" w:type="dxa"/>
            <w:left w:w="108" w:type="dxa"/>
            <w:bottom w:w="0" w:type="dxa"/>
            <w:right w:w="108" w:type="dxa"/>
          </w:tblCellMar>
        </w:tblPrEx>
        <w:trPr>
          <w:trHeight w:val="1365" w:hRule="atLeast"/>
        </w:trPr>
        <w:tc>
          <w:tcPr>
            <w:tcW w:w="1757" w:type="pct"/>
            <w:tcBorders>
              <w:top w:val="single" w:color="auto" w:sz="4" w:space="0"/>
              <w:left w:val="single" w:color="auto" w:sz="4" w:space="0"/>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3</w:t>
            </w:r>
          </w:p>
        </w:tc>
        <w:tc>
          <w:tcPr>
            <w:tcW w:w="258" w:type="pct"/>
            <w:tcBorders>
              <w:top w:val="single" w:color="auto" w:sz="4" w:space="0"/>
              <w:left w:val="nil"/>
              <w:bottom w:val="single" w:color="auto" w:sz="4" w:space="0"/>
              <w:right w:val="single" w:color="auto" w:sz="4" w:space="0"/>
            </w:tcBorders>
          </w:tcPr>
          <w:p>
            <w:pPr>
              <w:adjustRightInd w:val="0"/>
              <w:jc w:val="both"/>
              <w:rPr>
                <w:rFonts w:ascii="宋体" w:hAnsi="宋体" w:cs="宋体"/>
                <w:szCs w:val="21"/>
              </w:rPr>
            </w:pPr>
            <w:r>
              <w:rPr>
                <w:rFonts w:hint="eastAsia" w:ascii="宋体" w:hAnsi="宋体" w:cs="宋体"/>
                <w:szCs w:val="21"/>
              </w:rPr>
              <w:t>智能穿戴设备-手表</w:t>
            </w:r>
          </w:p>
        </w:tc>
        <w:tc>
          <w:tcPr>
            <w:tcW w:w="2514"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1、支持Android 4.3操作系统或以上，1GHz双核、4GB Flash ROM，512MB RAM； 2.2' TFT 显示屏；</w:t>
            </w:r>
          </w:p>
          <w:p>
            <w:pPr>
              <w:jc w:val="both"/>
              <w:rPr>
                <w:rFonts w:ascii="宋体" w:hAnsi="宋体" w:cs="宋体"/>
                <w:szCs w:val="21"/>
              </w:rPr>
            </w:pPr>
            <w:r>
              <w:rPr>
                <w:rFonts w:hint="eastAsia" w:ascii="宋体" w:hAnsi="宋体" w:cs="宋体"/>
                <w:szCs w:val="21"/>
              </w:rPr>
              <w:t>2、支持wifi、蓝牙2.1、BLE4.0；</w:t>
            </w:r>
          </w:p>
          <w:p>
            <w:pPr>
              <w:jc w:val="both"/>
              <w:rPr>
                <w:rFonts w:ascii="宋体" w:hAnsi="宋体" w:cs="宋体"/>
                <w:szCs w:val="21"/>
              </w:rPr>
            </w:pPr>
            <w:r>
              <w:rPr>
                <w:rFonts w:hint="eastAsia" w:ascii="宋体" w:hAnsi="宋体" w:cs="宋体"/>
                <w:szCs w:val="21"/>
              </w:rPr>
              <w:t>3、含有 F1-F6自定义功能键；独立充电座，USB2.0；</w:t>
            </w:r>
          </w:p>
          <w:p>
            <w:pPr>
              <w:jc w:val="both"/>
              <w:rPr>
                <w:rFonts w:ascii="宋体" w:hAnsi="宋体" w:cs="宋体"/>
                <w:szCs w:val="21"/>
              </w:rPr>
            </w:pPr>
            <w:r>
              <w:rPr>
                <w:rFonts w:hint="eastAsia" w:ascii="宋体" w:hAnsi="宋体" w:cs="宋体"/>
                <w:szCs w:val="21"/>
              </w:rPr>
              <w:t>4、电池容量≥1300mAh；</w:t>
            </w:r>
          </w:p>
          <w:p>
            <w:pPr>
              <w:jc w:val="both"/>
              <w:rPr>
                <w:rFonts w:ascii="宋体" w:hAnsi="宋体" w:cs="宋体"/>
                <w:szCs w:val="21"/>
              </w:rPr>
            </w:pPr>
            <w:r>
              <w:rPr>
                <w:rFonts w:hint="eastAsia" w:ascii="宋体" w:hAnsi="宋体" w:cs="宋体"/>
                <w:szCs w:val="21"/>
              </w:rPr>
              <w:t>5、工作时长：约15h，IP54防护等级；可多次承受1.2米高度自由跌落，六面八角跌落到水泥面；</w:t>
            </w:r>
          </w:p>
          <w:p>
            <w:pPr>
              <w:pStyle w:val="33"/>
              <w:ind w:firstLine="0" w:firstLineChars="0"/>
              <w:jc w:val="both"/>
              <w:rPr>
                <w:rFonts w:ascii="宋体" w:hAnsi="宋体" w:cs="宋体"/>
                <w:szCs w:val="21"/>
              </w:rPr>
            </w:pPr>
            <w:r>
              <w:rPr>
                <w:rFonts w:hint="eastAsia" w:ascii="宋体" w:hAnsi="宋体" w:cs="宋体"/>
                <w:szCs w:val="21"/>
              </w:rPr>
              <w:t>为保证产品质量，该产品需通过FCC认证，CE认证，提供证书复印件加盖厂家公章。</w:t>
            </w:r>
          </w:p>
          <w:p>
            <w:pPr>
              <w:pStyle w:val="33"/>
              <w:ind w:firstLine="0" w:firstLineChars="0"/>
              <w:jc w:val="both"/>
              <w:rPr>
                <w:rFonts w:cs="宋体" w:asciiTheme="minorEastAsia" w:hAnsiTheme="minorEastAsia" w:eastAsiaTheme="minorEastAsia"/>
                <w:color w:val="FF0000"/>
              </w:rPr>
            </w:pPr>
            <w:r>
              <w:rPr>
                <w:rFonts w:hint="eastAsia" w:cs="宋体" w:asciiTheme="minorEastAsia" w:hAnsiTheme="minorEastAsia" w:eastAsiaTheme="minorEastAsia"/>
                <w:szCs w:val="21"/>
              </w:rPr>
              <w:t>▲</w:t>
            </w:r>
            <w:r>
              <w:rPr>
                <w:rFonts w:hint="eastAsia" w:cs="宋体" w:asciiTheme="minorEastAsia" w:hAnsiTheme="minorEastAsia" w:eastAsiaTheme="minorEastAsia"/>
              </w:rPr>
              <w:t>所投产品须与智慧物流综合技能软件进行无缝对接。</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套</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1</w:t>
            </w:r>
          </w:p>
        </w:tc>
      </w:tr>
      <w:tr>
        <w:tblPrEx>
          <w:tblCellMar>
            <w:top w:w="0" w:type="dxa"/>
            <w:left w:w="108" w:type="dxa"/>
            <w:bottom w:w="0" w:type="dxa"/>
            <w:right w:w="108" w:type="dxa"/>
          </w:tblCellMar>
        </w:tblPrEx>
        <w:trPr>
          <w:trHeight w:val="120" w:hRule="atLeast"/>
        </w:trPr>
        <w:tc>
          <w:tcPr>
            <w:tcW w:w="1757" w:type="pct"/>
            <w:tcBorders>
              <w:top w:val="single" w:color="auto" w:sz="4" w:space="0"/>
              <w:left w:val="single" w:color="auto" w:sz="4" w:space="0"/>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4</w:t>
            </w:r>
          </w:p>
        </w:tc>
        <w:tc>
          <w:tcPr>
            <w:tcW w:w="258" w:type="pct"/>
            <w:tcBorders>
              <w:top w:val="single" w:color="auto" w:sz="4" w:space="0"/>
              <w:left w:val="nil"/>
              <w:bottom w:val="single" w:color="auto" w:sz="4" w:space="0"/>
              <w:right w:val="single" w:color="auto" w:sz="4" w:space="0"/>
            </w:tcBorders>
          </w:tcPr>
          <w:p>
            <w:pPr>
              <w:adjustRightInd w:val="0"/>
              <w:jc w:val="both"/>
              <w:rPr>
                <w:rFonts w:ascii="宋体" w:hAnsi="宋体" w:cs="宋体"/>
                <w:szCs w:val="21"/>
              </w:rPr>
            </w:pPr>
            <w:r>
              <w:rPr>
                <w:rFonts w:hint="eastAsia" w:ascii="宋体" w:hAnsi="宋体" w:cs="宋体"/>
                <w:szCs w:val="21"/>
              </w:rPr>
              <w:t>智能穿戴仓储作业软件</w:t>
            </w:r>
          </w:p>
        </w:tc>
        <w:tc>
          <w:tcPr>
            <w:tcW w:w="2514"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系统支持库存管理的主要业务：登录、入库管理、库存管理、出库管理（普通出库、摘果式扫描、播种式扫描）等。教师可以根据教学安排自主配置对应实训任务。</w:t>
            </w:r>
          </w:p>
          <w:p>
            <w:pPr>
              <w:jc w:val="both"/>
              <w:rPr>
                <w:rFonts w:ascii="宋体" w:hAnsi="宋体" w:cs="宋体"/>
                <w:szCs w:val="21"/>
              </w:rPr>
            </w:pPr>
            <w:r>
              <w:rPr>
                <w:rFonts w:hint="eastAsia" w:ascii="宋体" w:hAnsi="宋体" w:cs="宋体"/>
                <w:szCs w:val="21"/>
              </w:rPr>
              <w:t>主要功能：</w:t>
            </w:r>
          </w:p>
          <w:p>
            <w:pPr>
              <w:jc w:val="both"/>
              <w:rPr>
                <w:rFonts w:ascii="宋体" w:hAnsi="宋体" w:cs="宋体"/>
                <w:szCs w:val="21"/>
              </w:rPr>
            </w:pPr>
            <w:r>
              <w:rPr>
                <w:rFonts w:hint="eastAsia" w:ascii="宋体" w:hAnsi="宋体" w:cs="宋体"/>
                <w:szCs w:val="21"/>
              </w:rPr>
              <w:t>1、登录：动态调用二维码扫描，解析角色卡登录系统；</w:t>
            </w:r>
          </w:p>
          <w:p>
            <w:pPr>
              <w:jc w:val="both"/>
              <w:rPr>
                <w:rFonts w:ascii="宋体" w:hAnsi="宋体" w:cs="宋体"/>
                <w:szCs w:val="21"/>
              </w:rPr>
            </w:pPr>
            <w:r>
              <w:rPr>
                <w:rFonts w:hint="eastAsia" w:ascii="宋体" w:hAnsi="宋体" w:cs="宋体"/>
                <w:szCs w:val="21"/>
              </w:rPr>
              <w:t>2、入库作业：通过标准协议接口获取仓储入库任务，根据任务要求完成组托、上架等操作；</w:t>
            </w:r>
          </w:p>
          <w:p>
            <w:pPr>
              <w:jc w:val="both"/>
              <w:rPr>
                <w:rFonts w:ascii="宋体" w:hAnsi="宋体" w:cs="宋体"/>
                <w:szCs w:val="21"/>
              </w:rPr>
            </w:pPr>
            <w:r>
              <w:rPr>
                <w:rFonts w:hint="eastAsia" w:ascii="宋体" w:hAnsi="宋体" w:cs="宋体"/>
                <w:szCs w:val="21"/>
              </w:rPr>
              <w:t>3、库存管理：获取当前库存真实信息；</w:t>
            </w:r>
          </w:p>
          <w:p>
            <w:pPr>
              <w:jc w:val="both"/>
              <w:rPr>
                <w:rFonts w:ascii="宋体" w:hAnsi="宋体" w:cs="宋体"/>
                <w:szCs w:val="21"/>
              </w:rPr>
            </w:pPr>
            <w:r>
              <w:rPr>
                <w:rFonts w:hint="eastAsia" w:ascii="宋体" w:hAnsi="宋体" w:cs="宋体"/>
                <w:szCs w:val="21"/>
              </w:rPr>
              <w:t>4、出库作业：通过标准协议接口获取仓储出库请求，根据任务要求完成出库操作；除普通出库作业外，系统支持摘果式扫描——通过电子标签，完成电子标签仓库货物出库作业；播种式扫描——通过依次扫描拣选单号，货物编号等，完成播种式货物出库作业。</w:t>
            </w:r>
          </w:p>
          <w:p>
            <w:pPr>
              <w:pStyle w:val="33"/>
              <w:ind w:firstLine="0" w:firstLineChars="0"/>
              <w:jc w:val="both"/>
              <w:rPr>
                <w:rFonts w:asciiTheme="minorEastAsia" w:hAnsiTheme="minorEastAsia" w:eastAsiaTheme="minorEastAsia"/>
                <w:color w:val="FF0000"/>
              </w:rPr>
            </w:pPr>
            <w:r>
              <w:rPr>
                <w:rFonts w:hint="eastAsia" w:cs="宋体" w:asciiTheme="minorEastAsia" w:hAnsiTheme="minorEastAsia" w:eastAsiaTheme="minorEastAsia"/>
                <w:szCs w:val="21"/>
              </w:rPr>
              <w:t>▲</w:t>
            </w:r>
            <w:r>
              <w:rPr>
                <w:rFonts w:hint="eastAsia" w:cs="宋体" w:asciiTheme="minorEastAsia" w:hAnsiTheme="minorEastAsia" w:eastAsiaTheme="minorEastAsia"/>
              </w:rPr>
              <w:t>所投产品须与智慧物流综合技能软件进行无缝对接。</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套</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1</w:t>
            </w:r>
          </w:p>
        </w:tc>
      </w:tr>
      <w:tr>
        <w:tblPrEx>
          <w:tblCellMar>
            <w:top w:w="0" w:type="dxa"/>
            <w:left w:w="108" w:type="dxa"/>
            <w:bottom w:w="0" w:type="dxa"/>
            <w:right w:w="108" w:type="dxa"/>
          </w:tblCellMar>
        </w:tblPrEx>
        <w:trPr>
          <w:trHeight w:val="214" w:hRule="atLeast"/>
        </w:trPr>
        <w:tc>
          <w:tcPr>
            <w:tcW w:w="1757" w:type="pct"/>
            <w:tcBorders>
              <w:top w:val="single" w:color="auto" w:sz="4" w:space="0"/>
              <w:left w:val="single" w:color="auto" w:sz="4" w:space="0"/>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5</w:t>
            </w:r>
          </w:p>
        </w:tc>
        <w:tc>
          <w:tcPr>
            <w:tcW w:w="258" w:type="pct"/>
            <w:tcBorders>
              <w:top w:val="single" w:color="auto" w:sz="4" w:space="0"/>
              <w:left w:val="nil"/>
              <w:bottom w:val="single" w:color="auto" w:sz="4" w:space="0"/>
              <w:right w:val="single" w:color="auto" w:sz="4" w:space="0"/>
            </w:tcBorders>
          </w:tcPr>
          <w:p>
            <w:pPr>
              <w:adjustRightInd w:val="0"/>
              <w:jc w:val="both"/>
              <w:rPr>
                <w:rFonts w:ascii="宋体" w:hAnsi="宋体" w:cs="宋体"/>
                <w:szCs w:val="21"/>
              </w:rPr>
            </w:pPr>
            <w:r>
              <w:rPr>
                <w:rFonts w:hint="eastAsia" w:ascii="宋体" w:hAnsi="宋体" w:cs="宋体"/>
                <w:szCs w:val="21"/>
              </w:rPr>
              <w:t>电子播种墙</w:t>
            </w:r>
          </w:p>
        </w:tc>
        <w:tc>
          <w:tcPr>
            <w:tcW w:w="2514" w:type="pct"/>
            <w:tcBorders>
              <w:top w:val="single" w:color="auto" w:sz="4" w:space="0"/>
              <w:left w:val="nil"/>
              <w:bottom w:val="single" w:color="auto" w:sz="4" w:space="0"/>
              <w:right w:val="single" w:color="auto" w:sz="4" w:space="0"/>
            </w:tcBorders>
          </w:tcPr>
          <w:p>
            <w:pPr>
              <w:adjustRightInd w:val="0"/>
              <w:jc w:val="both"/>
              <w:rPr>
                <w:rFonts w:ascii="宋体" w:hAnsi="宋体" w:cs="宋体"/>
                <w:szCs w:val="21"/>
              </w:rPr>
            </w:pPr>
            <w:r>
              <w:rPr>
                <w:rFonts w:hint="eastAsia" w:ascii="宋体" w:hAnsi="宋体" w:cs="宋体"/>
                <w:szCs w:val="21"/>
              </w:rPr>
              <w:t>电子播种 1台</w:t>
            </w:r>
          </w:p>
          <w:p>
            <w:pPr>
              <w:adjustRightInd w:val="0"/>
              <w:jc w:val="both"/>
              <w:rPr>
                <w:rFonts w:ascii="宋体" w:hAnsi="宋体" w:cs="宋体"/>
                <w:szCs w:val="21"/>
              </w:rPr>
            </w:pPr>
            <w:r>
              <w:rPr>
                <w:rFonts w:hint="eastAsia" w:ascii="宋体" w:hAnsi="宋体" w:cs="宋体"/>
                <w:szCs w:val="21"/>
              </w:rPr>
              <w:t>1.基础尺寸约L1500*W600*H2000MM，4x3=12个播种位；</w:t>
            </w:r>
          </w:p>
          <w:p>
            <w:pPr>
              <w:adjustRightInd w:val="0"/>
              <w:jc w:val="both"/>
              <w:rPr>
                <w:rFonts w:ascii="宋体" w:hAnsi="宋体" w:cs="宋体"/>
                <w:szCs w:val="21"/>
              </w:rPr>
            </w:pPr>
            <w:r>
              <w:rPr>
                <w:rFonts w:hint="eastAsia" w:ascii="宋体" w:hAnsi="宋体" w:cs="宋体"/>
                <w:szCs w:val="21"/>
              </w:rPr>
              <w:t>2.光栅参数:光束数 10束，光电间距 20mm，检测高度 220mm，检测距离 0-3米；</w:t>
            </w:r>
          </w:p>
          <w:p>
            <w:pPr>
              <w:adjustRightInd w:val="0"/>
              <w:jc w:val="both"/>
              <w:rPr>
                <w:rFonts w:ascii="宋体" w:hAnsi="宋体" w:cs="宋体"/>
                <w:szCs w:val="21"/>
              </w:rPr>
            </w:pPr>
            <w:r>
              <w:rPr>
                <w:rFonts w:hint="eastAsia" w:ascii="宋体" w:hAnsi="宋体" w:cs="宋体"/>
                <w:szCs w:val="21"/>
              </w:rPr>
              <w:t>3.工作电压 DC12V，消耗功率 5W，输出方式 NPN，相应时间≤10ms；</w:t>
            </w:r>
          </w:p>
          <w:p>
            <w:pPr>
              <w:adjustRightInd w:val="0"/>
              <w:jc w:val="both"/>
              <w:rPr>
                <w:rFonts w:ascii="宋体" w:hAnsi="宋体" w:cs="宋体"/>
                <w:szCs w:val="21"/>
              </w:rPr>
            </w:pPr>
            <w:r>
              <w:rPr>
                <w:rFonts w:hint="eastAsia" w:ascii="宋体" w:hAnsi="宋体" w:cs="宋体"/>
                <w:szCs w:val="21"/>
              </w:rPr>
              <w:t>4.外形材质铝合金，光幕形式对射型；</w:t>
            </w:r>
          </w:p>
          <w:p>
            <w:pPr>
              <w:adjustRightInd w:val="0"/>
              <w:jc w:val="both"/>
              <w:rPr>
                <w:rFonts w:ascii="宋体" w:hAnsi="宋体" w:cs="宋体"/>
                <w:szCs w:val="21"/>
              </w:rPr>
            </w:pPr>
            <w:r>
              <w:rPr>
                <w:rFonts w:hint="eastAsia" w:ascii="宋体" w:hAnsi="宋体" w:cs="宋体"/>
                <w:szCs w:val="21"/>
              </w:rPr>
              <w:t>5.工作温度 -15℃--65℃，储存温度 -25℃--75℃；</w:t>
            </w:r>
          </w:p>
          <w:p>
            <w:pPr>
              <w:adjustRightInd w:val="0"/>
              <w:jc w:val="both"/>
              <w:rPr>
                <w:rFonts w:ascii="宋体" w:hAnsi="宋体" w:cs="宋体"/>
                <w:szCs w:val="21"/>
              </w:rPr>
            </w:pPr>
            <w:r>
              <w:rPr>
                <w:rFonts w:hint="eastAsia" w:ascii="宋体" w:hAnsi="宋体" w:cs="宋体"/>
                <w:szCs w:val="21"/>
              </w:rPr>
              <w:t>6.防护等级 IP65，截面尺寸 18×35mm； 1*12个；</w:t>
            </w:r>
          </w:p>
          <w:p>
            <w:pPr>
              <w:adjustRightInd w:val="0"/>
              <w:jc w:val="both"/>
              <w:rPr>
                <w:rFonts w:ascii="宋体" w:hAnsi="宋体" w:cs="宋体"/>
                <w:szCs w:val="21"/>
              </w:rPr>
            </w:pPr>
            <w:r>
              <w:rPr>
                <w:rFonts w:hint="eastAsia" w:ascii="宋体" w:hAnsi="宋体" w:cs="宋体"/>
                <w:szCs w:val="21"/>
              </w:rPr>
              <w:t>7.电子标签参数：全密封外壳，灰色黑色外壳可选24个5位数码7段式两色显示；电压／电流：DC12V／120mA，158mm(L) x 46mm(W) x 16mm(H)；</w:t>
            </w:r>
          </w:p>
          <w:p>
            <w:pPr>
              <w:adjustRightInd w:val="0"/>
              <w:jc w:val="both"/>
              <w:rPr>
                <w:rFonts w:ascii="宋体" w:hAnsi="宋体" w:cs="宋体"/>
                <w:szCs w:val="21"/>
              </w:rPr>
            </w:pPr>
            <w:r>
              <w:rPr>
                <w:rFonts w:hint="eastAsia" w:ascii="宋体" w:hAnsi="宋体" w:cs="宋体"/>
                <w:szCs w:val="21"/>
              </w:rPr>
              <w:t>8.读码器：二维读码，可读一维二维，串口连接；</w:t>
            </w:r>
          </w:p>
          <w:p>
            <w:pPr>
              <w:adjustRightInd w:val="0"/>
              <w:jc w:val="both"/>
              <w:rPr>
                <w:rFonts w:ascii="宋体" w:hAnsi="宋体" w:cs="宋体"/>
                <w:szCs w:val="21"/>
              </w:rPr>
            </w:pPr>
            <w:r>
              <w:rPr>
                <w:rFonts w:hint="eastAsia" w:ascii="宋体" w:hAnsi="宋体" w:cs="宋体"/>
                <w:szCs w:val="21"/>
              </w:rPr>
              <w:t>10.控制器：CAN-串口转接板1个；MC9S08DZ60中央处理器，60KB Flash存储器，4KB的RAM，一路CAN总线接口，1路RS232串口，电压:DC12V， 电流：80mA。整体配套设备</w:t>
            </w:r>
          </w:p>
          <w:p>
            <w:pPr>
              <w:adjustRightInd w:val="0"/>
              <w:jc w:val="both"/>
              <w:rPr>
                <w:rFonts w:ascii="宋体" w:hAnsi="宋体" w:cs="宋体"/>
                <w:szCs w:val="21"/>
              </w:rPr>
            </w:pPr>
            <w:r>
              <w:rPr>
                <w:rFonts w:hint="eastAsia" w:ascii="宋体" w:hAnsi="宋体" w:cs="宋体"/>
                <w:szCs w:val="21"/>
              </w:rPr>
              <w:t>11．直接式热敏打印机1台；性能要求：打印方式：热传/热敏式；打印模式：碳带热敏；打印速度：2~5inch/s；.打印宽度：108mm；接口类型：串口、USB、并口、网络接口(RJ45)，整体配套设备</w:t>
            </w:r>
          </w:p>
          <w:p>
            <w:pPr>
              <w:adjustRightInd w:val="0"/>
              <w:jc w:val="both"/>
              <w:rPr>
                <w:rFonts w:ascii="宋体" w:hAnsi="宋体" w:cs="宋体"/>
                <w:szCs w:val="21"/>
              </w:rPr>
            </w:pPr>
            <w:r>
              <w:rPr>
                <w:rFonts w:hint="eastAsia" w:ascii="宋体" w:hAnsi="宋体" w:cs="宋体"/>
                <w:szCs w:val="21"/>
              </w:rPr>
              <w:t>12.看板2个，性能要求：存储容量：16GB；操作系统:Android 5.0以上；核心数量:八核；可扩展容量:128GB；屏幕尺寸:9.0寸以上；屏幕分辨率:1920x1200；整体配套设备</w:t>
            </w:r>
          </w:p>
          <w:p>
            <w:pPr>
              <w:adjustRightInd w:val="0"/>
              <w:jc w:val="both"/>
              <w:rPr>
                <w:rFonts w:ascii="宋体" w:hAnsi="宋体" w:cs="宋体"/>
                <w:szCs w:val="21"/>
              </w:rPr>
            </w:pPr>
            <w:r>
              <w:rPr>
                <w:rFonts w:hint="eastAsia" w:ascii="宋体" w:hAnsi="宋体" w:cs="宋体"/>
                <w:szCs w:val="21"/>
              </w:rPr>
              <w:t>电池类型:锂电池。</w:t>
            </w:r>
          </w:p>
          <w:p>
            <w:pPr>
              <w:adjustRightInd w:val="0"/>
              <w:jc w:val="both"/>
              <w:rPr>
                <w:rFonts w:ascii="宋体" w:hAnsi="宋体" w:cs="宋体"/>
                <w:szCs w:val="21"/>
              </w:rPr>
            </w:pPr>
            <w:r>
              <w:rPr>
                <w:rFonts w:hint="eastAsia" w:ascii="宋体" w:hAnsi="宋体" w:cs="宋体"/>
                <w:szCs w:val="21"/>
              </w:rPr>
              <w:t>▲所投产品须与智慧物流综合技能软件进行无缝对接。</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套</w:t>
            </w:r>
          </w:p>
        </w:tc>
        <w:tc>
          <w:tcPr>
            <w:tcW w:w="236" w:type="pct"/>
            <w:tcBorders>
              <w:top w:val="single" w:color="auto" w:sz="4" w:space="0"/>
              <w:left w:val="nil"/>
              <w:bottom w:val="single" w:color="auto" w:sz="4" w:space="0"/>
              <w:right w:val="single" w:color="auto" w:sz="4" w:space="0"/>
            </w:tcBorders>
          </w:tcPr>
          <w:p>
            <w:pPr>
              <w:jc w:val="both"/>
              <w:rPr>
                <w:rFonts w:ascii="宋体" w:hAnsi="宋体" w:cs="宋体"/>
                <w:szCs w:val="21"/>
              </w:rPr>
            </w:pPr>
            <w:r>
              <w:rPr>
                <w:rFonts w:hint="eastAsia" w:ascii="宋体" w:hAnsi="宋体" w:cs="宋体"/>
                <w:szCs w:val="21"/>
              </w:rPr>
              <w:t>1</w:t>
            </w:r>
          </w:p>
        </w:tc>
      </w:tr>
    </w:tbl>
    <w:p>
      <w:pPr>
        <w:rPr>
          <w:rFonts w:ascii="宋体" w:hAnsi="宋体"/>
          <w:b/>
          <w:color w:val="FF0000"/>
          <w:sz w:val="28"/>
          <w:szCs w:val="28"/>
        </w:rPr>
      </w:pPr>
    </w:p>
    <w:p>
      <w:pPr>
        <w:rPr>
          <w:rFonts w:ascii="宋体" w:hAnsi="宋体"/>
          <w:b/>
          <w:sz w:val="28"/>
          <w:szCs w:val="28"/>
        </w:rPr>
      </w:pPr>
      <w:r>
        <w:rPr>
          <w:rFonts w:hint="eastAsia" w:ascii="宋体" w:hAnsi="宋体"/>
          <w:b/>
          <w:sz w:val="28"/>
          <w:szCs w:val="28"/>
        </w:rPr>
        <w:t>上述设备必须在明细报价表列明设备品牌、型号、制造商。</w:t>
      </w:r>
    </w:p>
    <w:p>
      <w:pPr>
        <w:spacing w:line="360" w:lineRule="auto"/>
        <w:rPr>
          <w:rFonts w:ascii="宋体" w:hAnsi="宋体" w:cs="Arial"/>
          <w:b/>
        </w:rPr>
      </w:pPr>
    </w:p>
    <w:p>
      <w:pPr>
        <w:spacing w:line="360" w:lineRule="auto"/>
        <w:rPr>
          <w:rFonts w:ascii="宋体" w:hAnsi="宋体"/>
          <w:b/>
          <w:sz w:val="28"/>
          <w:szCs w:val="28"/>
        </w:rPr>
      </w:pPr>
      <w:r>
        <w:rPr>
          <w:rFonts w:hint="eastAsia"/>
          <w:b/>
          <w:sz w:val="28"/>
          <w:szCs w:val="28"/>
        </w:rPr>
        <w:t>（三）</w:t>
      </w:r>
      <w:r>
        <w:rPr>
          <w:rFonts w:hint="eastAsia" w:ascii="宋体" w:hAnsi="宋体"/>
          <w:b/>
          <w:sz w:val="28"/>
          <w:szCs w:val="28"/>
        </w:rPr>
        <w:t>.基本要求:</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rPr>
        <w:t>（</w:t>
      </w:r>
      <w:r>
        <w:rPr>
          <w:rFonts w:hint="eastAsia" w:cs="仿宋_GB2312"/>
          <w:w w:val="99"/>
          <w:sz w:val="24"/>
          <w:szCs w:val="24"/>
        </w:rPr>
        <w:t>1</w:t>
      </w:r>
      <w:r>
        <w:rPr>
          <w:rFonts w:hint="eastAsia" w:ascii="宋体" w:hAnsi="宋体" w:cs="仿宋_GB2312"/>
          <w:w w:val="99"/>
          <w:sz w:val="24"/>
          <w:szCs w:val="24"/>
        </w:rPr>
        <w:t>）</w:t>
      </w:r>
      <w:r>
        <w:rPr>
          <w:rFonts w:hint="eastAsia" w:ascii="宋体" w:hAnsi="宋体" w:cs="仿宋_GB2312"/>
          <w:w w:val="99"/>
          <w:sz w:val="24"/>
          <w:szCs w:val="24"/>
          <w:lang w:val="zh-CN"/>
        </w:rPr>
        <w:t>投标人必须承诺提供厂商原装、全新的、符合用户提出的有关质量标准的货物。</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rPr>
        <w:t>（</w:t>
      </w:r>
      <w:r>
        <w:rPr>
          <w:rFonts w:hint="eastAsia" w:cs="仿宋_GB2312"/>
          <w:w w:val="99"/>
          <w:sz w:val="24"/>
          <w:szCs w:val="24"/>
        </w:rPr>
        <w:t>2</w:t>
      </w:r>
      <w:r>
        <w:rPr>
          <w:rFonts w:hint="eastAsia" w:ascii="宋体" w:hAnsi="宋体" w:cs="仿宋_GB2312"/>
          <w:w w:val="99"/>
          <w:sz w:val="24"/>
          <w:szCs w:val="24"/>
        </w:rPr>
        <w:t>）</w:t>
      </w:r>
      <w:r>
        <w:rPr>
          <w:rFonts w:hint="eastAsia" w:ascii="宋体" w:hAnsi="宋体" w:cs="仿宋_GB2312"/>
          <w:w w:val="99"/>
          <w:sz w:val="24"/>
          <w:szCs w:val="24"/>
          <w:lang w:val="zh-CN"/>
        </w:rPr>
        <w:t>所有货物在开箱检验时必须完好，无破损，配置与装箱单相符。货物外观清洁。数量、质量及性能不低于本需求书中提出的要求。</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rPr>
        <w:t>（</w:t>
      </w:r>
      <w:r>
        <w:rPr>
          <w:rFonts w:hint="eastAsia" w:cs="仿宋_GB2312"/>
          <w:w w:val="99"/>
          <w:sz w:val="24"/>
          <w:szCs w:val="24"/>
        </w:rPr>
        <w:t>3</w:t>
      </w:r>
      <w:r>
        <w:rPr>
          <w:rFonts w:hint="eastAsia" w:ascii="宋体" w:hAnsi="宋体" w:cs="仿宋_GB2312"/>
          <w:w w:val="99"/>
          <w:sz w:val="24"/>
          <w:szCs w:val="24"/>
        </w:rPr>
        <w:t>）</w:t>
      </w:r>
      <w:r>
        <w:rPr>
          <w:rFonts w:hint="eastAsia" w:ascii="宋体" w:hAnsi="宋体" w:cs="仿宋_GB2312"/>
          <w:w w:val="99"/>
          <w:sz w:val="24"/>
          <w:szCs w:val="24"/>
          <w:lang w:val="zh-CN"/>
        </w:rPr>
        <w:t>对于影响货物正常工作的必要组成部分，无论在技术规范中指出与否，投标人都应提供并在投标文件中明确列出。</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rPr>
        <w:t>（</w:t>
      </w:r>
      <w:r>
        <w:rPr>
          <w:rFonts w:hint="eastAsia" w:cs="仿宋_GB2312"/>
          <w:w w:val="99"/>
          <w:sz w:val="24"/>
          <w:szCs w:val="24"/>
        </w:rPr>
        <w:t>4</w:t>
      </w:r>
      <w:r>
        <w:rPr>
          <w:rFonts w:hint="eastAsia" w:ascii="宋体" w:hAnsi="宋体" w:cs="仿宋_GB2312"/>
          <w:w w:val="99"/>
          <w:sz w:val="24"/>
          <w:szCs w:val="24"/>
        </w:rPr>
        <w:t>）</w:t>
      </w:r>
      <w:r>
        <w:rPr>
          <w:rFonts w:hint="eastAsia" w:ascii="宋体" w:hAnsi="宋体" w:cs="仿宋_GB2312"/>
          <w:w w:val="99"/>
          <w:sz w:val="24"/>
          <w:szCs w:val="24"/>
          <w:lang w:val="zh-CN"/>
        </w:rPr>
        <w:t>投标人投标时所提供的货物如在实际供货时已经停产（不列入该厂家当时的产品系统），如果未能按原价提供更优质的货物，则按违约处理。</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rPr>
        <w:t>（</w:t>
      </w:r>
      <w:r>
        <w:rPr>
          <w:rFonts w:hint="eastAsia" w:cs="仿宋_GB2312"/>
          <w:w w:val="99"/>
          <w:sz w:val="24"/>
          <w:szCs w:val="24"/>
        </w:rPr>
        <w:t>5</w:t>
      </w:r>
      <w:r>
        <w:rPr>
          <w:rFonts w:hint="eastAsia" w:ascii="宋体" w:hAnsi="宋体" w:cs="仿宋_GB2312"/>
          <w:w w:val="99"/>
          <w:sz w:val="24"/>
          <w:szCs w:val="24"/>
        </w:rPr>
        <w:t>）</w:t>
      </w:r>
      <w:r>
        <w:rPr>
          <w:rFonts w:hint="eastAsia" w:ascii="宋体" w:hAnsi="宋体" w:cs="仿宋_GB2312"/>
          <w:w w:val="99"/>
          <w:sz w:val="24"/>
          <w:szCs w:val="24"/>
          <w:lang w:val="zh-CN"/>
        </w:rPr>
        <w:t xml:space="preserve"> 投标人在实际供货时，若被发现提供的货物未能达到招标文件和投标文件中的有关要求，将按有关法规进行处罚，买方将有权单方面中止合同的执行,并追究因中标方所提供的未达到所承诺准确率产品而产生的所有损失和责任。</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rPr>
        <w:t>（</w:t>
      </w:r>
      <w:r>
        <w:rPr>
          <w:rFonts w:hint="eastAsia" w:cs="仿宋_GB2312"/>
          <w:w w:val="99"/>
          <w:sz w:val="24"/>
          <w:szCs w:val="24"/>
        </w:rPr>
        <w:t>6</w:t>
      </w:r>
      <w:r>
        <w:rPr>
          <w:rFonts w:hint="eastAsia" w:ascii="宋体" w:hAnsi="宋体" w:cs="仿宋_GB2312"/>
          <w:w w:val="99"/>
          <w:sz w:val="24"/>
          <w:szCs w:val="24"/>
        </w:rPr>
        <w:t>）</w:t>
      </w:r>
      <w:r>
        <w:rPr>
          <w:rFonts w:hint="eastAsia" w:ascii="宋体" w:hAnsi="宋体" w:cs="仿宋_GB2312"/>
          <w:w w:val="99"/>
          <w:sz w:val="24"/>
          <w:szCs w:val="24"/>
          <w:lang w:val="zh-CN"/>
        </w:rPr>
        <w:t>由中标人负责按国家相关标准进行货物包装，设备的包装均应有良好的防湿、防锈、防潮、防雨、 防腐及防碰撞的措施，并适宜当地的气候条件。凡由于包装不良造成的损失和由此产生的费用均由中标人承担。</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rPr>
        <w:t>（</w:t>
      </w:r>
      <w:r>
        <w:rPr>
          <w:rFonts w:hint="eastAsia" w:cs="仿宋_GB2312"/>
          <w:w w:val="99"/>
          <w:sz w:val="24"/>
          <w:szCs w:val="24"/>
        </w:rPr>
        <w:t>7</w:t>
      </w:r>
      <w:r>
        <w:rPr>
          <w:rFonts w:hint="eastAsia" w:ascii="宋体" w:hAnsi="宋体" w:cs="仿宋_GB2312"/>
          <w:w w:val="99"/>
          <w:sz w:val="24"/>
          <w:szCs w:val="24"/>
        </w:rPr>
        <w:t>）</w:t>
      </w:r>
      <w:r>
        <w:rPr>
          <w:rFonts w:hint="eastAsia" w:ascii="宋体" w:hAnsi="宋体" w:cs="仿宋_GB2312"/>
          <w:w w:val="99"/>
          <w:sz w:val="24"/>
          <w:szCs w:val="24"/>
          <w:lang w:val="zh-CN"/>
        </w:rPr>
        <w:t>因产品的质量问题发生争议，由广东省或韶关市质检部门进行质量鉴定。采购人与中标人认为有需要，可以共同提出或分别提出质量鉴定，广东省质检部门与韶关市质检部门的鉴定结论不一致的，以广东省质检部门的鉴定结论为准。产品符合质量标准的，鉴定费由采购人承担；产品不符合质量标准的，鉴定费由中标人承担。</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rPr>
        <w:t>（</w:t>
      </w:r>
      <w:r>
        <w:rPr>
          <w:rFonts w:hint="eastAsia" w:cs="仿宋_GB2312"/>
          <w:w w:val="99"/>
          <w:sz w:val="24"/>
          <w:szCs w:val="24"/>
        </w:rPr>
        <w:t>8</w:t>
      </w:r>
      <w:r>
        <w:rPr>
          <w:rFonts w:hint="eastAsia" w:ascii="宋体" w:hAnsi="宋体" w:cs="仿宋_GB2312"/>
          <w:w w:val="99"/>
          <w:sz w:val="24"/>
          <w:szCs w:val="24"/>
        </w:rPr>
        <w:t>）</w:t>
      </w:r>
      <w:r>
        <w:rPr>
          <w:rFonts w:hint="eastAsia" w:ascii="宋体" w:hAnsi="宋体" w:cs="仿宋_GB2312"/>
          <w:w w:val="99"/>
          <w:sz w:val="24"/>
          <w:szCs w:val="24"/>
          <w:lang w:val="zh-CN"/>
        </w:rPr>
        <w:t>投标人保证提供的货物不侵犯任何第三方的专利、商标或版权。否则，投标人须承担对第三方的专利或版权的侵权责任并承担因此而发生的所有费用。</w:t>
      </w:r>
    </w:p>
    <w:p>
      <w:pPr>
        <w:spacing w:line="360" w:lineRule="auto"/>
        <w:rPr>
          <w:rFonts w:ascii="宋体" w:hAnsi="宋体"/>
          <w:b/>
          <w:sz w:val="28"/>
          <w:szCs w:val="28"/>
        </w:rPr>
      </w:pPr>
    </w:p>
    <w:p>
      <w:pPr>
        <w:spacing w:line="360" w:lineRule="auto"/>
        <w:rPr>
          <w:rFonts w:ascii="宋体" w:hAnsi="宋体"/>
          <w:b/>
          <w:sz w:val="28"/>
          <w:szCs w:val="28"/>
        </w:rPr>
      </w:pPr>
      <w:r>
        <w:rPr>
          <w:rFonts w:hint="eastAsia"/>
          <w:b/>
          <w:sz w:val="28"/>
          <w:szCs w:val="28"/>
        </w:rPr>
        <w:t>（四）</w:t>
      </w:r>
      <w:r>
        <w:rPr>
          <w:rFonts w:hint="eastAsia" w:ascii="宋体" w:hAnsi="宋体"/>
          <w:b/>
          <w:sz w:val="28"/>
          <w:szCs w:val="28"/>
        </w:rPr>
        <w:t>.服务要求:</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lang w:val="zh-CN"/>
        </w:rPr>
        <w:t>本项目投标总价须包括了货物的设计、制造、包装、仓储、运输、保险、安装调试、验收以及培训、技术服务（包括技术资料、图纸的提供）、质量保证期保障服务、各项税费等的全部费用。</w:t>
      </w:r>
    </w:p>
    <w:p>
      <w:pPr>
        <w:rPr>
          <w:rFonts w:ascii="宋体" w:hAnsi="宋体"/>
          <w:szCs w:val="24"/>
        </w:rPr>
      </w:pPr>
    </w:p>
    <w:p>
      <w:pPr>
        <w:spacing w:line="360" w:lineRule="auto"/>
        <w:rPr>
          <w:rFonts w:ascii="宋体" w:hAnsi="宋体"/>
          <w:b/>
          <w:sz w:val="28"/>
          <w:szCs w:val="28"/>
        </w:rPr>
      </w:pPr>
      <w:r>
        <w:rPr>
          <w:rFonts w:hint="eastAsia" w:ascii="宋体" w:hAnsi="宋体"/>
          <w:b/>
          <w:sz w:val="28"/>
          <w:szCs w:val="28"/>
        </w:rPr>
        <w:t>三、采购项目商务要求</w:t>
      </w:r>
    </w:p>
    <w:p>
      <w:pPr>
        <w:spacing w:line="360" w:lineRule="auto"/>
        <w:rPr>
          <w:rFonts w:ascii="宋体" w:hAnsi="宋体"/>
          <w:b/>
          <w:sz w:val="28"/>
          <w:szCs w:val="28"/>
        </w:rPr>
      </w:pPr>
      <w:r>
        <w:rPr>
          <w:rFonts w:hint="eastAsia"/>
          <w:b/>
          <w:sz w:val="28"/>
          <w:szCs w:val="28"/>
        </w:rPr>
        <w:t>1</w:t>
      </w:r>
      <w:r>
        <w:rPr>
          <w:rFonts w:hint="eastAsia" w:ascii="宋体" w:hAnsi="宋体"/>
          <w:b/>
          <w:sz w:val="28"/>
          <w:szCs w:val="28"/>
        </w:rPr>
        <w:t>.供货要求：</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rPr>
        <w:t>（</w:t>
      </w:r>
      <w:r>
        <w:rPr>
          <w:rFonts w:hint="eastAsia" w:cs="仿宋_GB2312"/>
          <w:w w:val="99"/>
          <w:sz w:val="24"/>
          <w:szCs w:val="24"/>
        </w:rPr>
        <w:t>1</w:t>
      </w:r>
      <w:r>
        <w:rPr>
          <w:rFonts w:hint="eastAsia" w:ascii="宋体" w:hAnsi="宋体" w:cs="仿宋_GB2312"/>
          <w:w w:val="99"/>
          <w:sz w:val="24"/>
          <w:szCs w:val="24"/>
        </w:rPr>
        <w:t>）</w:t>
      </w:r>
      <w:r>
        <w:rPr>
          <w:rFonts w:hint="eastAsia" w:ascii="宋体" w:hAnsi="宋体" w:cs="仿宋_GB2312"/>
          <w:w w:val="99"/>
          <w:sz w:val="24"/>
          <w:szCs w:val="24"/>
          <w:lang w:val="zh-CN"/>
        </w:rPr>
        <w:t>投标人必须向采购人提供本项目采购的所有硬件的安装和维护服务的全部内容。若本项目采购的设备产品等方面的配置或要求中出现不合理或不完整的问题时，投标人有责任和义务在投标文件中提出补充修改方案并征得采购人同意后付诸实施。</w:t>
      </w:r>
    </w:p>
    <w:p>
      <w:pPr>
        <w:spacing w:line="360" w:lineRule="auto"/>
        <w:ind w:right="-20"/>
        <w:rPr>
          <w:rFonts w:ascii="宋体" w:hAnsi="宋体" w:cs="仿宋_GB2312"/>
          <w:w w:val="99"/>
          <w:sz w:val="24"/>
          <w:szCs w:val="24"/>
          <w:lang w:val="zh-CN"/>
        </w:rPr>
      </w:pPr>
      <w:r>
        <w:rPr>
          <w:rFonts w:hint="eastAsia" w:ascii="宋体" w:hAnsi="宋体" w:cs="仿宋_GB2312"/>
          <w:w w:val="99"/>
          <w:sz w:val="24"/>
          <w:szCs w:val="24"/>
        </w:rPr>
        <w:t>（</w:t>
      </w:r>
      <w:r>
        <w:rPr>
          <w:rFonts w:hint="eastAsia" w:cs="仿宋_GB2312"/>
          <w:w w:val="99"/>
          <w:sz w:val="24"/>
          <w:szCs w:val="24"/>
        </w:rPr>
        <w:t>2</w:t>
      </w:r>
      <w:r>
        <w:rPr>
          <w:rFonts w:hint="eastAsia" w:ascii="宋体" w:hAnsi="宋体" w:cs="仿宋_GB2312"/>
          <w:w w:val="99"/>
          <w:sz w:val="24"/>
          <w:szCs w:val="24"/>
        </w:rPr>
        <w:t>）</w:t>
      </w:r>
      <w:r>
        <w:rPr>
          <w:rFonts w:hint="eastAsia" w:ascii="宋体" w:hAnsi="宋体" w:cs="仿宋_GB2312"/>
          <w:w w:val="99"/>
          <w:sz w:val="24"/>
          <w:szCs w:val="24"/>
          <w:lang w:val="zh-CN"/>
        </w:rPr>
        <w:t>货物的包装和发运必须符合货物特性要求。为了保证货物在长途运输和装卸过程中的安全，货物包装应符合国家或行业标准规定。由于包装不善导致货物锈蚀、失缺或损坏，由供货商承担一切责任。</w:t>
      </w:r>
    </w:p>
    <w:p>
      <w:pPr>
        <w:spacing w:line="360" w:lineRule="auto"/>
        <w:rPr>
          <w:rFonts w:ascii="宋体" w:hAnsi="宋体"/>
          <w:b/>
          <w:bCs/>
          <w:sz w:val="28"/>
          <w:szCs w:val="28"/>
        </w:rPr>
      </w:pPr>
      <w:r>
        <w:rPr>
          <w:b/>
          <w:bCs/>
          <w:sz w:val="28"/>
          <w:szCs w:val="28"/>
        </w:rPr>
        <w:t>2</w:t>
      </w:r>
      <w:r>
        <w:rPr>
          <w:rFonts w:hint="eastAsia" w:ascii="宋体" w:hAnsi="宋体"/>
          <w:b/>
          <w:bCs/>
          <w:sz w:val="28"/>
          <w:szCs w:val="28"/>
        </w:rPr>
        <w:t>.项目预算：</w:t>
      </w:r>
    </w:p>
    <w:p>
      <w:pPr>
        <w:spacing w:line="360" w:lineRule="auto"/>
        <w:ind w:firstLine="237" w:firstLineChars="100"/>
        <w:rPr>
          <w:rFonts w:ascii="宋体" w:hAnsi="宋体" w:cs="仿宋_GB2312"/>
          <w:w w:val="99"/>
          <w:sz w:val="24"/>
          <w:szCs w:val="24"/>
        </w:rPr>
      </w:pPr>
      <w:r>
        <w:rPr>
          <w:rFonts w:hint="eastAsia" w:ascii="宋体" w:hAnsi="宋体" w:cs="仿宋_GB2312"/>
          <w:w w:val="99"/>
          <w:sz w:val="24"/>
          <w:szCs w:val="24"/>
          <w:lang w:val="zh-CN"/>
        </w:rPr>
        <w:t>本项目总预算</w:t>
      </w:r>
      <w:r>
        <w:rPr>
          <w:rFonts w:hint="eastAsia" w:cs="仿宋_GB2312"/>
          <w:w w:val="99"/>
          <w:sz w:val="24"/>
          <w:szCs w:val="24"/>
        </w:rPr>
        <w:t>14万</w:t>
      </w:r>
      <w:r>
        <w:rPr>
          <w:rFonts w:hint="eastAsia" w:ascii="宋体" w:hAnsi="宋体" w:cs="仿宋_GB2312"/>
          <w:w w:val="99"/>
          <w:sz w:val="24"/>
          <w:szCs w:val="24"/>
        </w:rPr>
        <w:t>元</w:t>
      </w:r>
      <w:r>
        <w:rPr>
          <w:rFonts w:hint="eastAsia" w:ascii="宋体" w:hAnsi="宋体" w:cs="仿宋_GB2312"/>
          <w:w w:val="99"/>
          <w:sz w:val="24"/>
          <w:szCs w:val="24"/>
          <w:lang w:val="zh-CN"/>
        </w:rPr>
        <w:t>人民币，投标方不得高于预算资金。投标人应对项目内所有的招标内容进行投标，不允许只对部分内容进行投标</w:t>
      </w:r>
      <w:r>
        <w:rPr>
          <w:rFonts w:hint="eastAsia" w:ascii="宋体" w:hAnsi="宋体" w:cs="仿宋_GB2312"/>
          <w:w w:val="99"/>
          <w:sz w:val="24"/>
          <w:szCs w:val="24"/>
        </w:rPr>
        <w:t>。</w:t>
      </w:r>
    </w:p>
    <w:p>
      <w:pPr>
        <w:spacing w:line="360" w:lineRule="auto"/>
        <w:rPr>
          <w:rFonts w:ascii="宋体" w:hAnsi="宋体"/>
          <w:sz w:val="28"/>
          <w:szCs w:val="28"/>
        </w:rPr>
      </w:pPr>
      <w:r>
        <w:rPr>
          <w:b/>
          <w:bCs/>
          <w:sz w:val="28"/>
          <w:szCs w:val="28"/>
        </w:rPr>
        <w:t>3</w:t>
      </w:r>
      <w:r>
        <w:rPr>
          <w:rFonts w:hint="eastAsia" w:ascii="宋体" w:hAnsi="宋体"/>
          <w:b/>
          <w:bCs/>
          <w:sz w:val="28"/>
          <w:szCs w:val="28"/>
        </w:rPr>
        <w:t>.报价要求</w:t>
      </w:r>
      <w:r>
        <w:rPr>
          <w:rFonts w:hint="eastAsia" w:ascii="宋体" w:hAnsi="宋体"/>
          <w:sz w:val="28"/>
          <w:szCs w:val="28"/>
        </w:rPr>
        <w:t>：</w:t>
      </w:r>
    </w:p>
    <w:p>
      <w:pPr>
        <w:spacing w:line="360" w:lineRule="auto"/>
        <w:ind w:firstLine="237" w:firstLineChars="100"/>
        <w:rPr>
          <w:rFonts w:ascii="宋体" w:hAnsi="宋体" w:cs="仿宋_GB2312"/>
          <w:w w:val="99"/>
          <w:sz w:val="24"/>
          <w:szCs w:val="24"/>
          <w:lang w:val="zh-CN"/>
        </w:rPr>
      </w:pPr>
      <w:r>
        <w:rPr>
          <w:rFonts w:hint="eastAsia" w:ascii="宋体" w:hAnsi="宋体" w:cs="仿宋_GB2312"/>
          <w:w w:val="99"/>
          <w:sz w:val="24"/>
          <w:szCs w:val="24"/>
          <w:lang w:val="zh-CN"/>
        </w:rPr>
        <w:t>本项目投标总价须包括了货物的设计、制造、包装、仓储、运输、保险、安装调试、验收以及培训、技术服务（包括技术资料、图纸的提供）、质量保证期保障服务、各项税费等的全部费用。所有价格均应以人民币报价，金额单位为元。</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1</w:t>
      </w:r>
      <w:r>
        <w:rPr>
          <w:rFonts w:hint="eastAsia" w:ascii="宋体" w:hAnsi="宋体" w:cs="仿宋_GB2312"/>
          <w:w w:val="99"/>
          <w:sz w:val="24"/>
          <w:szCs w:val="24"/>
          <w:lang w:val="zh-CN"/>
        </w:rPr>
        <w:t>）货物及零配件的购置和安装、运输保险、装卸、培训辅导、质保期售后服务、全额含税发票、雇员费用、合同实施过程中应预见和不可预见费用等。</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2</w:t>
      </w:r>
      <w:r>
        <w:rPr>
          <w:rFonts w:hint="eastAsia" w:ascii="宋体" w:hAnsi="宋体" w:cs="仿宋_GB2312"/>
          <w:w w:val="99"/>
          <w:sz w:val="24"/>
          <w:szCs w:val="24"/>
          <w:lang w:val="zh-CN"/>
        </w:rPr>
        <w:t>）招标范围内所有设备及配件费；</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3</w:t>
      </w:r>
      <w:r>
        <w:rPr>
          <w:rFonts w:hint="eastAsia" w:ascii="宋体" w:hAnsi="宋体" w:cs="仿宋_GB2312"/>
          <w:w w:val="99"/>
          <w:sz w:val="24"/>
          <w:szCs w:val="24"/>
          <w:lang w:val="zh-CN"/>
        </w:rPr>
        <w:t>）安装中的相关费用（包括安装过程中损耗、额外材料、设计费等）；</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4</w:t>
      </w:r>
      <w:r>
        <w:rPr>
          <w:rFonts w:hint="eastAsia" w:ascii="宋体" w:hAnsi="宋体" w:cs="仿宋_GB2312"/>
          <w:w w:val="99"/>
          <w:sz w:val="24"/>
          <w:szCs w:val="24"/>
          <w:lang w:val="zh-CN"/>
        </w:rPr>
        <w:t>）人员培训和售后服务的相关费用。</w:t>
      </w:r>
    </w:p>
    <w:p>
      <w:pPr>
        <w:spacing w:line="327" w:lineRule="auto"/>
        <w:ind w:right="20"/>
        <w:rPr>
          <w:rFonts w:ascii="宋体" w:hAnsi="宋体"/>
          <w:b/>
          <w:bCs/>
          <w:sz w:val="28"/>
          <w:szCs w:val="28"/>
        </w:rPr>
      </w:pPr>
      <w:r>
        <w:rPr>
          <w:b/>
          <w:bCs/>
          <w:sz w:val="28"/>
          <w:szCs w:val="28"/>
        </w:rPr>
        <w:t>4</w:t>
      </w:r>
      <w:r>
        <w:rPr>
          <w:rFonts w:hint="eastAsia" w:ascii="宋体" w:hAnsi="宋体"/>
          <w:b/>
          <w:bCs/>
          <w:sz w:val="28"/>
          <w:szCs w:val="28"/>
        </w:rPr>
        <w:t xml:space="preserve">.完工期： </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1</w:t>
      </w:r>
      <w:r>
        <w:rPr>
          <w:rFonts w:hint="eastAsia" w:ascii="宋体" w:hAnsi="宋体" w:cs="仿宋_GB2312"/>
          <w:w w:val="99"/>
          <w:sz w:val="24"/>
          <w:szCs w:val="24"/>
          <w:lang w:val="zh-CN"/>
        </w:rPr>
        <w:t>）合同生效</w:t>
      </w:r>
      <w:r>
        <w:rPr>
          <w:rFonts w:hint="eastAsia" w:ascii="宋体" w:hAnsi="宋体" w:cs="仿宋_GB2312"/>
          <w:color w:val="000000"/>
          <w:w w:val="99"/>
          <w:sz w:val="24"/>
          <w:szCs w:val="24"/>
          <w:lang w:val="zh-CN"/>
        </w:rPr>
        <w:t>后</w:t>
      </w:r>
      <w:r>
        <w:rPr>
          <w:rFonts w:hint="eastAsia" w:cs="仿宋_GB2312"/>
          <w:color w:val="000000"/>
          <w:w w:val="99"/>
          <w:sz w:val="24"/>
          <w:szCs w:val="24"/>
          <w:lang w:val="zh-CN"/>
        </w:rPr>
        <w:t>30</w:t>
      </w:r>
      <w:r>
        <w:rPr>
          <w:rFonts w:hint="eastAsia" w:ascii="宋体" w:hAnsi="宋体" w:cs="仿宋_GB2312"/>
          <w:color w:val="000000"/>
          <w:w w:val="99"/>
          <w:sz w:val="24"/>
          <w:szCs w:val="24"/>
          <w:lang w:val="zh-CN"/>
        </w:rPr>
        <w:t>天内</w:t>
      </w:r>
      <w:r>
        <w:rPr>
          <w:rFonts w:hint="eastAsia" w:ascii="宋体" w:hAnsi="宋体" w:cs="仿宋_GB2312"/>
          <w:w w:val="99"/>
          <w:sz w:val="24"/>
          <w:szCs w:val="24"/>
          <w:lang w:val="zh-CN"/>
        </w:rPr>
        <w:t>完成交货、安装、调试、验收并交付使用。除双方对推迟工期书面达成一致外，中标人必须在规定的工期内完工。</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2</w:t>
      </w:r>
      <w:r>
        <w:rPr>
          <w:rFonts w:hint="eastAsia" w:ascii="宋体" w:hAnsi="宋体" w:cs="仿宋_GB2312"/>
          <w:w w:val="99"/>
          <w:sz w:val="24"/>
          <w:szCs w:val="24"/>
          <w:lang w:val="zh-CN"/>
        </w:rPr>
        <w:t>）交货地点：用户指定地点。</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3</w:t>
      </w:r>
      <w:r>
        <w:rPr>
          <w:rFonts w:hint="eastAsia" w:ascii="宋体" w:hAnsi="宋体" w:cs="仿宋_GB2312"/>
          <w:w w:val="99"/>
          <w:sz w:val="24"/>
          <w:szCs w:val="24"/>
          <w:lang w:val="zh-CN"/>
        </w:rPr>
        <w:t>）投标人必须按工程进度安排计划，派出适当的技术人员到安装现场负责免费安装和调试工作。</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4</w:t>
      </w:r>
      <w:r>
        <w:rPr>
          <w:rFonts w:hint="eastAsia" w:ascii="宋体" w:hAnsi="宋体" w:cs="仿宋_GB2312"/>
          <w:w w:val="99"/>
          <w:sz w:val="24"/>
          <w:szCs w:val="24"/>
          <w:lang w:val="zh-CN"/>
        </w:rPr>
        <w:t>）在安装施工期间，严格遵守用户方的有关制度，安装施工期间做到安全施工，不损坏用户方的设备设施，否则原价赔偿。</w:t>
      </w:r>
    </w:p>
    <w:p>
      <w:pPr>
        <w:spacing w:line="327" w:lineRule="auto"/>
        <w:ind w:right="80"/>
        <w:rPr>
          <w:rFonts w:ascii="宋体" w:hAnsi="宋体"/>
          <w:sz w:val="28"/>
          <w:szCs w:val="28"/>
        </w:rPr>
      </w:pPr>
      <w:r>
        <w:rPr>
          <w:rFonts w:hint="eastAsia" w:ascii="宋体" w:hAnsi="宋体"/>
          <w:b/>
          <w:bCs/>
          <w:sz w:val="28"/>
          <w:szCs w:val="28"/>
        </w:rPr>
        <w:t>5.质保期（服务期）：</w:t>
      </w:r>
    </w:p>
    <w:p>
      <w:pPr>
        <w:rPr>
          <w:rFonts w:ascii="宋体" w:hAnsi="宋体" w:cs="仿宋_GB2312"/>
          <w:w w:val="99"/>
          <w:sz w:val="24"/>
          <w:szCs w:val="24"/>
          <w:lang w:val="zh-CN"/>
        </w:rPr>
      </w:pPr>
      <w:r>
        <w:rPr>
          <w:rFonts w:hint="eastAsia" w:ascii="宋体" w:hAnsi="宋体" w:cs="仿宋_GB2312"/>
          <w:w w:val="99"/>
          <w:sz w:val="24"/>
          <w:szCs w:val="24"/>
          <w:lang w:val="zh-CN"/>
        </w:rPr>
        <w:t>所有货物（若本需求书上有特别要求的按特别要求执行）均须提供至少</w:t>
      </w:r>
      <w:r>
        <w:rPr>
          <w:rFonts w:hint="eastAsia" w:cs="仿宋_GB2312"/>
          <w:w w:val="99"/>
          <w:sz w:val="24"/>
          <w:szCs w:val="24"/>
          <w:lang w:val="zh-CN"/>
        </w:rPr>
        <w:t>3</w:t>
      </w:r>
      <w:r>
        <w:rPr>
          <w:rFonts w:hint="eastAsia" w:ascii="宋体" w:hAnsi="宋体" w:cs="仿宋_GB2312"/>
          <w:w w:val="99"/>
          <w:sz w:val="24"/>
          <w:szCs w:val="24"/>
          <w:lang w:val="zh-CN"/>
        </w:rPr>
        <w:t>年保修，质保</w:t>
      </w:r>
      <w:r>
        <w:rPr>
          <w:rFonts w:hint="eastAsia" w:cs="仿宋_GB2312"/>
          <w:w w:val="99"/>
          <w:sz w:val="24"/>
          <w:szCs w:val="24"/>
          <w:lang w:val="zh-CN"/>
        </w:rPr>
        <w:t>3</w:t>
      </w:r>
      <w:r>
        <w:rPr>
          <w:rFonts w:hint="eastAsia" w:ascii="宋体" w:hAnsi="宋体" w:cs="仿宋_GB2312"/>
          <w:w w:val="99"/>
          <w:sz w:val="24"/>
          <w:szCs w:val="24"/>
          <w:lang w:val="zh-CN"/>
        </w:rPr>
        <w:t>年内提供免费上门服务（含部件、人力、上门等），保修期自供需双方代表在货物最终验收单上签字之日算起。质保期满之后，如果没有继续购买维保服务，产品</w:t>
      </w:r>
      <w:r>
        <w:rPr>
          <w:rFonts w:ascii="宋体" w:hAnsi="宋体" w:cs="仿宋_GB2312"/>
          <w:w w:val="99"/>
          <w:sz w:val="24"/>
          <w:szCs w:val="24"/>
          <w:lang w:val="zh-CN"/>
        </w:rPr>
        <w:t>仍能</w:t>
      </w:r>
      <w:r>
        <w:rPr>
          <w:rFonts w:hint="eastAsia" w:ascii="宋体" w:hAnsi="宋体" w:cs="仿宋_GB2312"/>
          <w:w w:val="99"/>
          <w:sz w:val="24"/>
          <w:szCs w:val="24"/>
          <w:lang w:val="zh-CN"/>
        </w:rPr>
        <w:t>保证正常</w:t>
      </w:r>
      <w:r>
        <w:rPr>
          <w:rFonts w:ascii="宋体" w:hAnsi="宋体" w:cs="仿宋_GB2312"/>
          <w:w w:val="99"/>
          <w:sz w:val="24"/>
          <w:szCs w:val="24"/>
          <w:lang w:val="zh-CN"/>
        </w:rPr>
        <w:t>使用</w:t>
      </w:r>
      <w:r>
        <w:rPr>
          <w:rFonts w:hint="eastAsia" w:ascii="宋体" w:hAnsi="宋体" w:cs="仿宋_GB2312"/>
          <w:w w:val="99"/>
          <w:sz w:val="24"/>
          <w:szCs w:val="24"/>
          <w:lang w:val="zh-CN"/>
        </w:rPr>
        <w:t>。保修费用已计入总价，并以书面形式承诺质保期满后投标人提供维修服务，并优惠收费。（投标人提供质保服务内容细则）</w:t>
      </w:r>
    </w:p>
    <w:p>
      <w:pPr>
        <w:spacing w:line="327" w:lineRule="auto"/>
        <w:ind w:right="20"/>
        <w:rPr>
          <w:rFonts w:ascii="宋体" w:hAnsi="宋体" w:cs="仿宋_GB2312"/>
          <w:w w:val="99"/>
          <w:sz w:val="24"/>
          <w:szCs w:val="24"/>
          <w:lang w:val="zh-CN"/>
        </w:rPr>
      </w:pPr>
      <w:r>
        <w:rPr>
          <w:rFonts w:hint="eastAsia" w:ascii="宋体" w:hAnsi="宋体" w:cs="仿宋_GB2312"/>
          <w:w w:val="99"/>
          <w:sz w:val="24"/>
          <w:szCs w:val="24"/>
          <w:lang w:val="zh-CN"/>
        </w:rPr>
        <w:t>6.验收要求：</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1</w:t>
      </w:r>
      <w:r>
        <w:rPr>
          <w:rFonts w:hint="eastAsia" w:ascii="宋体" w:hAnsi="宋体" w:cs="仿宋_GB2312"/>
          <w:w w:val="99"/>
          <w:sz w:val="24"/>
          <w:szCs w:val="24"/>
          <w:lang w:val="zh-CN"/>
        </w:rPr>
        <w:t>）要求对全部设备、产品、型号、规格、数量、外型、外观、包装及资料、文件（如装箱单、保修单、随箱介质等）的验收资料（应有中文解释）等交给用户方。</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2</w:t>
      </w:r>
      <w:r>
        <w:rPr>
          <w:rFonts w:hint="eastAsia" w:ascii="宋体" w:hAnsi="宋体" w:cs="仿宋_GB2312"/>
          <w:w w:val="99"/>
          <w:sz w:val="24"/>
          <w:szCs w:val="24"/>
          <w:lang w:val="zh-CN"/>
        </w:rPr>
        <w:t>）凡列入《中华人民共和国实施强制性产品认证的产品目录》的产品在验收时出具 CCC 认证证书复印件，并以在产品外部加施认证标志作为验收依据之一。</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3</w:t>
      </w:r>
      <w:r>
        <w:rPr>
          <w:rFonts w:hint="eastAsia" w:ascii="宋体" w:hAnsi="宋体" w:cs="仿宋_GB2312"/>
          <w:w w:val="99"/>
          <w:sz w:val="24"/>
          <w:szCs w:val="24"/>
          <w:lang w:val="zh-CN"/>
        </w:rPr>
        <w:t>）投标人应负责在项目验收时将系统的全部有关产品说明书、原厂家 安装手册、技术文件、资料、及安装、验收报告等文档汇集成册交付设备使用单位。</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4</w:t>
      </w:r>
      <w:r>
        <w:rPr>
          <w:rFonts w:hint="eastAsia" w:ascii="宋体" w:hAnsi="宋体" w:cs="仿宋_GB2312"/>
          <w:w w:val="99"/>
          <w:sz w:val="24"/>
          <w:szCs w:val="24"/>
          <w:lang w:val="zh-CN"/>
        </w:rPr>
        <w:t>）产品安装后系统稳定，能满足采购人的教学使用，测试通过。</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5</w:t>
      </w:r>
      <w:r>
        <w:rPr>
          <w:rFonts w:hint="eastAsia" w:ascii="宋体" w:hAnsi="宋体" w:cs="仿宋_GB2312"/>
          <w:w w:val="99"/>
          <w:sz w:val="24"/>
          <w:szCs w:val="24"/>
          <w:lang w:val="zh-CN"/>
        </w:rPr>
        <w:t>）由供货方进行设备的安装、调试和对用户进行基本的设备操作和系统使用培训。</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（6）如因投标人自身原因延误验收工期，导致采购人所使用的财政资金被收回的，责任由投标人负责。</w:t>
      </w:r>
    </w:p>
    <w:p>
      <w:pPr>
        <w:spacing w:line="327" w:lineRule="auto"/>
        <w:ind w:right="75"/>
        <w:rPr>
          <w:rFonts w:ascii="宋体" w:hAnsi="宋体"/>
          <w:sz w:val="28"/>
          <w:szCs w:val="28"/>
        </w:rPr>
      </w:pPr>
      <w:r>
        <w:rPr>
          <w:rFonts w:hint="eastAsia" w:ascii="宋体" w:hAnsi="宋体"/>
          <w:b/>
          <w:bCs/>
          <w:sz w:val="28"/>
          <w:szCs w:val="28"/>
        </w:rPr>
        <w:t>7.售后服务：</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1</w:t>
      </w:r>
      <w:r>
        <w:rPr>
          <w:rFonts w:hint="eastAsia" w:ascii="宋体" w:hAnsi="宋体" w:cs="仿宋_GB2312"/>
          <w:w w:val="99"/>
          <w:sz w:val="24"/>
          <w:szCs w:val="24"/>
          <w:lang w:val="zh-CN"/>
        </w:rPr>
        <w:t>）投标人必须在用户所在地或附近地区有专业的售后服务力量。提供售后服务联系电话及联系人。免费质保期内，接到报障电话</w:t>
      </w:r>
      <w:r>
        <w:rPr>
          <w:rFonts w:hint="eastAsia" w:cs="仿宋_GB2312"/>
          <w:w w:val="99"/>
          <w:sz w:val="24"/>
          <w:szCs w:val="24"/>
          <w:lang w:val="zh-CN"/>
        </w:rPr>
        <w:t>8</w:t>
      </w:r>
      <w:r>
        <w:rPr>
          <w:rFonts w:hint="eastAsia" w:ascii="宋体" w:hAnsi="宋体" w:cs="仿宋_GB2312"/>
          <w:w w:val="99"/>
          <w:sz w:val="24"/>
          <w:szCs w:val="24"/>
          <w:lang w:val="zh-CN"/>
        </w:rPr>
        <w:t>小时内派工程技术人员联系,且在</w:t>
      </w:r>
      <w:r>
        <w:rPr>
          <w:rFonts w:hint="eastAsia" w:cs="仿宋_GB2312"/>
          <w:w w:val="99"/>
          <w:sz w:val="24"/>
          <w:szCs w:val="24"/>
          <w:lang w:val="zh-CN"/>
        </w:rPr>
        <w:t>48</w:t>
      </w:r>
      <w:r>
        <w:rPr>
          <w:rFonts w:hint="eastAsia" w:ascii="宋体" w:hAnsi="宋体" w:cs="仿宋_GB2312"/>
          <w:w w:val="99"/>
          <w:sz w:val="24"/>
          <w:szCs w:val="24"/>
          <w:lang w:val="zh-CN"/>
        </w:rPr>
        <w:t>小时内通过远程或上门处理完毕。规定时间内未处理完毕的，投标人提供不低于同等档次货物供用户使用至故障货物能正常使用为止。如果需要更换配件的，要求更换的配件跟被更换的品牌、类型相一致或者是同类同档次的替代品，后者需征得用户方管理人员同意。如须增加非投标方的货物和配件，投标方应协助解决。</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2</w:t>
      </w:r>
      <w:r>
        <w:rPr>
          <w:rFonts w:hint="eastAsia" w:ascii="宋体" w:hAnsi="宋体" w:cs="仿宋_GB2312"/>
          <w:w w:val="99"/>
          <w:sz w:val="24"/>
          <w:szCs w:val="24"/>
          <w:lang w:val="zh-CN"/>
        </w:rPr>
        <w:t>）对质保期内的故障报修，如投标人未能做到上款的服务承诺，用户可采取必要的补救措施，但其风险和费用由投标人承担，由于投标人的保证服务不到位，质保期的到期时间将顺延。</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3</w:t>
      </w:r>
      <w:r>
        <w:rPr>
          <w:rFonts w:hint="eastAsia" w:ascii="宋体" w:hAnsi="宋体" w:cs="仿宋_GB2312"/>
          <w:w w:val="99"/>
          <w:sz w:val="24"/>
          <w:szCs w:val="24"/>
          <w:lang w:val="zh-CN"/>
        </w:rPr>
        <w:t>）质保期内因用户使用、管理不当所造成的损失由用户承担，投标人提供有偿服务。</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4</w:t>
      </w:r>
      <w:r>
        <w:rPr>
          <w:rFonts w:hint="eastAsia" w:ascii="宋体" w:hAnsi="宋体" w:cs="仿宋_GB2312"/>
          <w:w w:val="99"/>
          <w:sz w:val="24"/>
          <w:szCs w:val="24"/>
          <w:lang w:val="zh-CN"/>
        </w:rPr>
        <w:t>）质保期满后，若有零部件出现故障，经权威部门鉴定属于寿命异常问题（明显短于该零部件正常寿命）时，则由投标人负责免费更换及维修。</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w:t>
      </w:r>
      <w:r>
        <w:rPr>
          <w:rFonts w:hint="eastAsia" w:cs="仿宋_GB2312"/>
          <w:w w:val="99"/>
          <w:sz w:val="24"/>
          <w:szCs w:val="24"/>
          <w:lang w:val="zh-CN"/>
        </w:rPr>
        <w:t>5</w:t>
      </w:r>
      <w:r>
        <w:rPr>
          <w:rFonts w:hint="eastAsia" w:ascii="宋体" w:hAnsi="宋体" w:cs="仿宋_GB2312"/>
          <w:w w:val="99"/>
          <w:sz w:val="24"/>
          <w:szCs w:val="24"/>
          <w:lang w:val="zh-CN"/>
        </w:rPr>
        <w:t>）质保期满后，应用户要求，投标人应（参考当时的市场价格）按优惠价格与用户方签订定期维修保养合同及提供用户所需零配件，投标人对货物提供终身维护维修服务,只收取零配件成本费用。</w:t>
      </w:r>
    </w:p>
    <w:p>
      <w:pPr>
        <w:widowControl w:val="0"/>
        <w:numPr>
          <w:ilvl w:val="0"/>
          <w:numId w:val="2"/>
        </w:numPr>
        <w:spacing w:line="327" w:lineRule="auto"/>
        <w:ind w:right="75"/>
        <w:jc w:val="both"/>
        <w:rPr>
          <w:rFonts w:ascii="宋体" w:hAnsi="宋体"/>
          <w:b/>
          <w:bCs/>
          <w:sz w:val="28"/>
          <w:szCs w:val="28"/>
        </w:rPr>
      </w:pPr>
      <w:r>
        <w:rPr>
          <w:rFonts w:hint="eastAsia" w:ascii="宋体" w:hAnsi="宋体"/>
          <w:b/>
          <w:bCs/>
          <w:sz w:val="28"/>
          <w:szCs w:val="28"/>
        </w:rPr>
        <w:t>付款方式：</w:t>
      </w:r>
    </w:p>
    <w:p>
      <w:pPr>
        <w:spacing w:line="360" w:lineRule="auto"/>
        <w:ind w:left="406"/>
        <w:rPr>
          <w:rFonts w:ascii="宋体" w:hAnsi="宋体" w:cs="仿宋_GB2312"/>
          <w:w w:val="99"/>
          <w:sz w:val="24"/>
          <w:szCs w:val="24"/>
          <w:lang w:val="zh-CN"/>
        </w:rPr>
      </w:pPr>
      <w:r>
        <w:rPr>
          <w:rFonts w:hint="eastAsia" w:ascii="宋体" w:hAnsi="宋体" w:cs="仿宋_GB2312"/>
          <w:w w:val="99"/>
          <w:sz w:val="24"/>
          <w:szCs w:val="24"/>
          <w:lang w:val="zh-CN"/>
        </w:rPr>
        <w:t>（1）合同签订生效之日起的15个工作日内，中标供应商向采购人缴纳合同总金额5%作为履约保证金，待合同服务期满，无息一次性退还。</w:t>
      </w:r>
    </w:p>
    <w:p>
      <w:pPr>
        <w:widowControl w:val="0"/>
        <w:numPr>
          <w:ilvl w:val="0"/>
          <w:numId w:val="3"/>
        </w:numPr>
        <w:spacing w:line="360" w:lineRule="auto"/>
        <w:jc w:val="both"/>
        <w:rPr>
          <w:rFonts w:ascii="宋体" w:hAnsi="宋体" w:cs="仿宋_GB2312"/>
          <w:w w:val="99"/>
          <w:sz w:val="24"/>
          <w:szCs w:val="24"/>
          <w:lang w:val="zh-CN"/>
        </w:rPr>
      </w:pPr>
      <w:r>
        <w:rPr>
          <w:rFonts w:hint="eastAsia" w:ascii="宋体" w:hAnsi="宋体" w:cs="仿宋_GB2312"/>
          <w:w w:val="99"/>
          <w:sz w:val="24"/>
          <w:szCs w:val="24"/>
          <w:lang w:val="zh-CN"/>
        </w:rPr>
        <w:t>所有软件安装调试完毕，交付使用一个月验收合格后的15个工作日内由采购人向中标供应商支付合同总金额的100%。</w:t>
      </w:r>
    </w:p>
    <w:p>
      <w:pPr>
        <w:widowControl w:val="0"/>
        <w:numPr>
          <w:ilvl w:val="0"/>
          <w:numId w:val="3"/>
        </w:numPr>
        <w:spacing w:line="360" w:lineRule="auto"/>
        <w:jc w:val="both"/>
        <w:rPr>
          <w:rFonts w:ascii="宋体" w:hAnsi="宋体" w:cs="仿宋_GB2312"/>
          <w:w w:val="99"/>
          <w:sz w:val="24"/>
          <w:szCs w:val="24"/>
          <w:lang w:val="zh-CN"/>
        </w:rPr>
      </w:pPr>
      <w:r>
        <w:rPr>
          <w:rFonts w:hint="eastAsia" w:ascii="宋体" w:hAnsi="宋体" w:cs="仿宋_GB2312"/>
          <w:w w:val="99"/>
          <w:sz w:val="24"/>
          <w:szCs w:val="24"/>
          <w:lang w:val="zh-CN"/>
        </w:rPr>
        <w:t>付款方式：采用银行转账等方式。</w:t>
      </w:r>
    </w:p>
    <w:p>
      <w:pPr>
        <w:widowControl w:val="0"/>
        <w:numPr>
          <w:ilvl w:val="0"/>
          <w:numId w:val="3"/>
        </w:numPr>
        <w:spacing w:line="360" w:lineRule="auto"/>
        <w:jc w:val="both"/>
        <w:rPr>
          <w:rFonts w:ascii="宋体" w:hAnsi="宋体" w:cs="仿宋_GB2312"/>
          <w:w w:val="99"/>
          <w:sz w:val="24"/>
          <w:szCs w:val="24"/>
          <w:lang w:val="zh-CN"/>
        </w:rPr>
      </w:pPr>
      <w:r>
        <w:rPr>
          <w:rFonts w:hint="eastAsia" w:ascii="宋体" w:hAnsi="宋体" w:cs="仿宋_GB2312"/>
          <w:w w:val="99"/>
          <w:sz w:val="24"/>
          <w:szCs w:val="24"/>
          <w:lang w:val="zh-CN"/>
        </w:rPr>
        <w:t>发票提供方式：采购人第一期款项时，供货方一次性提供全额发票。</w:t>
      </w:r>
    </w:p>
    <w:p>
      <w:pPr>
        <w:widowControl w:val="0"/>
        <w:numPr>
          <w:ilvl w:val="0"/>
          <w:numId w:val="3"/>
        </w:numPr>
        <w:spacing w:line="360" w:lineRule="auto"/>
        <w:jc w:val="both"/>
        <w:rPr>
          <w:rFonts w:ascii="宋体" w:hAnsi="宋体"/>
          <w:b/>
          <w:bCs/>
          <w:sz w:val="28"/>
          <w:szCs w:val="28"/>
        </w:rPr>
      </w:pPr>
      <w:r>
        <w:rPr>
          <w:rFonts w:hint="eastAsia" w:ascii="宋体" w:hAnsi="宋体" w:cs="仿宋_GB2312"/>
          <w:w w:val="99"/>
          <w:sz w:val="24"/>
          <w:szCs w:val="24"/>
          <w:lang w:val="zh-CN"/>
        </w:rPr>
        <w:t xml:space="preserve">其它要求： </w:t>
      </w:r>
      <w:r>
        <w:rPr>
          <w:rFonts w:hint="eastAsia" w:ascii="宋体" w:hAnsi="宋体"/>
          <w:b/>
          <w:bCs/>
          <w:sz w:val="28"/>
          <w:szCs w:val="28"/>
        </w:rPr>
        <w:t xml:space="preserve"> </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（1）培训：技术要求中所涉及软件，如采购人需培训，供货方需提供现场培训，直至被培训人员完全掌握软件的安装、使用等。</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（2）所有软件均为正版，而且广东松山职业技术学院必须获得所有软件的使用权；并提供3年的免费升级和维护。</w:t>
      </w:r>
    </w:p>
    <w:p>
      <w:pPr>
        <w:spacing w:line="360" w:lineRule="auto"/>
        <w:rPr>
          <w:rFonts w:ascii="宋体" w:hAnsi="宋体" w:cs="仿宋_GB2312"/>
          <w:w w:val="99"/>
          <w:sz w:val="24"/>
          <w:szCs w:val="24"/>
          <w:lang w:val="zh-CN"/>
        </w:rPr>
      </w:pPr>
      <w:r>
        <w:rPr>
          <w:rFonts w:hint="eastAsia" w:ascii="宋体" w:hAnsi="宋体" w:cs="仿宋_GB2312"/>
          <w:w w:val="99"/>
          <w:sz w:val="24"/>
          <w:szCs w:val="24"/>
          <w:lang w:val="zh-CN"/>
        </w:rPr>
        <w:t>（3）提供设备安装、使用和维护的一整套技术资料。</w:t>
      </w:r>
    </w:p>
    <w:p>
      <w:pPr>
        <w:pStyle w:val="2"/>
      </w:pPr>
      <w:r>
        <w:rPr>
          <w:rFonts w:hint="eastAsia"/>
        </w:rPr>
        <w:t>综合评审</w:t>
      </w:r>
    </w:p>
    <w:p>
      <w:pPr>
        <w:spacing w:line="360" w:lineRule="auto"/>
        <w:rPr>
          <w:rFonts w:ascii="仿宋_GB2312" w:eastAsia="仿宋_GB2312"/>
          <w:sz w:val="24"/>
        </w:rPr>
      </w:pPr>
      <w:r>
        <w:rPr>
          <w:rFonts w:hint="eastAsia" w:ascii="仿宋_GB2312" w:eastAsia="仿宋_GB2312"/>
          <w:sz w:val="24"/>
        </w:rPr>
        <w:t xml:space="preserve">        1.评分总值最高为100分，评分分值（权重）如下：</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984"/>
        <w:gridCol w:w="2127"/>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61" w:type="dxa"/>
            <w:vAlign w:val="center"/>
          </w:tcPr>
          <w:p>
            <w:pPr>
              <w:spacing w:line="360" w:lineRule="auto"/>
              <w:jc w:val="center"/>
              <w:rPr>
                <w:rFonts w:ascii="宋体" w:hAnsi="宋体"/>
                <w:b/>
                <w:szCs w:val="21"/>
              </w:rPr>
            </w:pPr>
            <w:r>
              <w:rPr>
                <w:rFonts w:hint="eastAsia" w:ascii="宋体" w:hAnsi="宋体"/>
                <w:b/>
                <w:szCs w:val="21"/>
              </w:rPr>
              <w:t>评分项目</w:t>
            </w:r>
          </w:p>
        </w:tc>
        <w:tc>
          <w:tcPr>
            <w:tcW w:w="1984" w:type="dxa"/>
            <w:vAlign w:val="center"/>
          </w:tcPr>
          <w:p>
            <w:pPr>
              <w:spacing w:line="360" w:lineRule="auto"/>
              <w:jc w:val="center"/>
              <w:rPr>
                <w:rFonts w:ascii="宋体" w:hAnsi="宋体"/>
                <w:b/>
                <w:szCs w:val="21"/>
              </w:rPr>
            </w:pPr>
            <w:r>
              <w:rPr>
                <w:rFonts w:hint="eastAsia" w:ascii="宋体" w:hAnsi="宋体"/>
                <w:b/>
                <w:szCs w:val="21"/>
              </w:rPr>
              <w:t>技术评价总分</w:t>
            </w:r>
          </w:p>
        </w:tc>
        <w:tc>
          <w:tcPr>
            <w:tcW w:w="2127" w:type="dxa"/>
            <w:vAlign w:val="center"/>
          </w:tcPr>
          <w:p>
            <w:pPr>
              <w:spacing w:line="360" w:lineRule="auto"/>
              <w:jc w:val="center"/>
              <w:rPr>
                <w:rFonts w:ascii="宋体" w:hAnsi="宋体"/>
                <w:b/>
                <w:szCs w:val="21"/>
              </w:rPr>
            </w:pPr>
            <w:r>
              <w:rPr>
                <w:rFonts w:hint="eastAsia" w:ascii="宋体" w:hAnsi="宋体"/>
                <w:b/>
                <w:szCs w:val="21"/>
              </w:rPr>
              <w:t>商务评价总分</w:t>
            </w:r>
          </w:p>
        </w:tc>
        <w:tc>
          <w:tcPr>
            <w:tcW w:w="1914" w:type="dxa"/>
            <w:vAlign w:val="center"/>
          </w:tcPr>
          <w:p>
            <w:pPr>
              <w:spacing w:line="360" w:lineRule="auto"/>
              <w:jc w:val="center"/>
              <w:rPr>
                <w:rFonts w:ascii="宋体" w:hAnsi="宋体"/>
                <w:b/>
                <w:szCs w:val="21"/>
              </w:rPr>
            </w:pPr>
            <w:r>
              <w:rPr>
                <w:rFonts w:hint="eastAsia" w:ascii="宋体" w:hAnsi="宋体"/>
                <w:b/>
                <w:szCs w:val="21"/>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61" w:type="dxa"/>
            <w:vAlign w:val="center"/>
          </w:tcPr>
          <w:p>
            <w:pPr>
              <w:spacing w:line="360" w:lineRule="auto"/>
              <w:jc w:val="center"/>
              <w:rPr>
                <w:rFonts w:ascii="宋体" w:hAnsi="宋体"/>
                <w:szCs w:val="21"/>
              </w:rPr>
            </w:pPr>
            <w:r>
              <w:rPr>
                <w:rFonts w:hint="eastAsia" w:ascii="宋体" w:hAnsi="宋体"/>
                <w:szCs w:val="21"/>
              </w:rPr>
              <w:t>分值</w:t>
            </w:r>
          </w:p>
        </w:tc>
        <w:tc>
          <w:tcPr>
            <w:tcW w:w="1984" w:type="dxa"/>
            <w:vAlign w:val="center"/>
          </w:tcPr>
          <w:p>
            <w:pPr>
              <w:spacing w:line="360" w:lineRule="auto"/>
              <w:jc w:val="center"/>
              <w:rPr>
                <w:rFonts w:ascii="宋体" w:hAnsi="宋体"/>
                <w:szCs w:val="21"/>
              </w:rPr>
            </w:pPr>
            <w:r>
              <w:rPr>
                <w:rFonts w:hint="eastAsia" w:ascii="宋体" w:hAnsi="宋体"/>
                <w:szCs w:val="21"/>
              </w:rPr>
              <w:t>40分</w:t>
            </w:r>
          </w:p>
        </w:tc>
        <w:tc>
          <w:tcPr>
            <w:tcW w:w="2127" w:type="dxa"/>
            <w:vAlign w:val="center"/>
          </w:tcPr>
          <w:p>
            <w:pPr>
              <w:spacing w:line="360" w:lineRule="auto"/>
              <w:jc w:val="center"/>
              <w:rPr>
                <w:rFonts w:ascii="宋体" w:hAnsi="宋体"/>
                <w:szCs w:val="21"/>
              </w:rPr>
            </w:pPr>
            <w:r>
              <w:rPr>
                <w:rFonts w:ascii="宋体" w:hAnsi="宋体"/>
                <w:szCs w:val="21"/>
              </w:rPr>
              <w:t>2</w:t>
            </w:r>
            <w:r>
              <w:rPr>
                <w:rFonts w:hint="eastAsia" w:ascii="宋体" w:hAnsi="宋体"/>
                <w:szCs w:val="21"/>
              </w:rPr>
              <w:t>0分</w:t>
            </w:r>
          </w:p>
        </w:tc>
        <w:tc>
          <w:tcPr>
            <w:tcW w:w="1914" w:type="dxa"/>
            <w:vAlign w:val="center"/>
          </w:tcPr>
          <w:p>
            <w:pPr>
              <w:spacing w:line="360" w:lineRule="auto"/>
              <w:jc w:val="center"/>
              <w:rPr>
                <w:rFonts w:ascii="宋体" w:hAnsi="宋体"/>
                <w:szCs w:val="21"/>
              </w:rPr>
            </w:pPr>
            <w:r>
              <w:rPr>
                <w:rFonts w:hint="eastAsia" w:ascii="宋体" w:hAnsi="宋体"/>
                <w:szCs w:val="21"/>
              </w:rPr>
              <w:t>40分</w:t>
            </w:r>
          </w:p>
        </w:tc>
      </w:tr>
    </w:tbl>
    <w:p>
      <w:pPr>
        <w:spacing w:line="360" w:lineRule="auto"/>
        <w:ind w:firstLine="960" w:firstLineChars="400"/>
        <w:rPr>
          <w:rFonts w:ascii="仿宋_GB2312" w:eastAsia="仿宋_GB2312"/>
          <w:sz w:val="24"/>
        </w:rPr>
      </w:pPr>
      <w:r>
        <w:rPr>
          <w:rFonts w:hint="eastAsia" w:ascii="仿宋_GB2312" w:eastAsia="仿宋_GB2312"/>
          <w:sz w:val="24"/>
        </w:rPr>
        <w:t>2.技术、商务评审：各评委按评审表的要求进行评审和比较，并量化打分（评审打分内容详见技术评审表、商务评审表）。各评委评分的算术平均值即为该投标人的技术、商务得分。（技术、商务得分分值按四舍五入原则精确到小数点后两位）</w:t>
      </w:r>
    </w:p>
    <w:p>
      <w:pPr>
        <w:spacing w:line="360" w:lineRule="auto"/>
        <w:rPr>
          <w:rFonts w:ascii="仿宋_GB2312" w:eastAsia="仿宋_GB2312"/>
          <w:sz w:val="24"/>
        </w:rPr>
      </w:pPr>
      <w:r>
        <w:rPr>
          <w:rFonts w:hint="eastAsia" w:ascii="仿宋_GB2312" w:eastAsia="仿宋_GB2312"/>
          <w:sz w:val="24"/>
        </w:rPr>
        <w:t xml:space="preserve">        3.价格评审：</w:t>
      </w:r>
    </w:p>
    <w:p>
      <w:pPr>
        <w:spacing w:line="360" w:lineRule="auto"/>
        <w:rPr>
          <w:rFonts w:ascii="仿宋_GB2312" w:eastAsia="仿宋_GB2312"/>
          <w:sz w:val="24"/>
        </w:rPr>
      </w:pPr>
      <w:r>
        <w:rPr>
          <w:rFonts w:hint="eastAsia" w:ascii="仿宋_GB2312" w:eastAsia="仿宋_GB2312"/>
          <w:sz w:val="24"/>
        </w:rPr>
        <w:t xml:space="preserve">    价格计算得分：各有效投标供应商各项清单内的产品单价乘以相应权重后的合计值为评审价，取最低者作为基准价，各有效投标供应商的价格评分统一按照下列公式计算：</w:t>
      </w:r>
    </w:p>
    <w:p>
      <w:pPr>
        <w:spacing w:line="360" w:lineRule="auto"/>
        <w:rPr>
          <w:rFonts w:ascii="仿宋_GB2312" w:eastAsia="仿宋_GB2312"/>
          <w:sz w:val="24"/>
        </w:rPr>
      </w:pPr>
      <w:r>
        <w:rPr>
          <w:rFonts w:hint="eastAsia" w:ascii="仿宋_GB2312" w:eastAsia="仿宋_GB2312"/>
          <w:sz w:val="24"/>
        </w:rPr>
        <w:t>价格评分＝（评标基准价÷评审价）×40。</w:t>
      </w:r>
    </w:p>
    <w:p>
      <w:pPr>
        <w:spacing w:line="360" w:lineRule="auto"/>
        <w:rPr>
          <w:rFonts w:ascii="仿宋_GB2312" w:eastAsia="仿宋_GB2312"/>
          <w:sz w:val="24"/>
        </w:rPr>
      </w:pPr>
      <w:r>
        <w:rPr>
          <w:rFonts w:ascii="仿宋_GB2312" w:eastAsia="仿宋_GB2312"/>
          <w:sz w:val="24"/>
        </w:rPr>
        <w:br w:type="page"/>
      </w:r>
    </w:p>
    <w:p>
      <w:pPr>
        <w:pStyle w:val="2"/>
        <w:spacing w:beforeLines="200" w:after="200"/>
      </w:pPr>
      <w:r>
        <w:rPr>
          <w:rFonts w:hint="eastAsia"/>
        </w:rPr>
        <w:t>技术评分：</w:t>
      </w:r>
    </w:p>
    <w:tbl>
      <w:tblPr>
        <w:tblStyle w:val="3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850"/>
        <w:gridCol w:w="6371"/>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7" w:type="pct"/>
            <w:vAlign w:val="center"/>
          </w:tcPr>
          <w:p>
            <w:pPr>
              <w:jc w:val="center"/>
              <w:rPr>
                <w:rFonts w:ascii="宋体" w:hAnsi="宋体" w:cs="宋体"/>
                <w:b/>
                <w:szCs w:val="21"/>
              </w:rPr>
            </w:pPr>
            <w:r>
              <w:rPr>
                <w:rFonts w:hint="eastAsia" w:ascii="宋体" w:hAnsi="宋体" w:cs="宋体"/>
                <w:b/>
                <w:szCs w:val="21"/>
              </w:rPr>
              <w:t>评分内容</w:t>
            </w:r>
          </w:p>
        </w:tc>
        <w:tc>
          <w:tcPr>
            <w:tcW w:w="463" w:type="pct"/>
            <w:vAlign w:val="center"/>
          </w:tcPr>
          <w:p>
            <w:pPr>
              <w:jc w:val="center"/>
              <w:rPr>
                <w:rFonts w:ascii="宋体" w:hAnsi="宋体" w:cs="宋体"/>
                <w:b/>
                <w:szCs w:val="21"/>
              </w:rPr>
            </w:pPr>
            <w:r>
              <w:rPr>
                <w:rFonts w:hint="eastAsia" w:ascii="宋体" w:hAnsi="宋体" w:cs="宋体"/>
                <w:b/>
                <w:szCs w:val="21"/>
              </w:rPr>
              <w:t>分值（40）</w:t>
            </w:r>
          </w:p>
        </w:tc>
        <w:tc>
          <w:tcPr>
            <w:tcW w:w="3469" w:type="pct"/>
            <w:vAlign w:val="center"/>
          </w:tcPr>
          <w:p>
            <w:pPr>
              <w:jc w:val="center"/>
              <w:rPr>
                <w:rFonts w:ascii="宋体" w:hAnsi="宋体" w:cs="宋体"/>
                <w:b/>
                <w:szCs w:val="21"/>
              </w:rPr>
            </w:pPr>
            <w:r>
              <w:rPr>
                <w:rFonts w:hint="eastAsia" w:ascii="宋体" w:hAnsi="宋体" w:cs="宋体"/>
                <w:b/>
                <w:szCs w:val="21"/>
              </w:rPr>
              <w:t>评分细则</w:t>
            </w:r>
          </w:p>
        </w:tc>
        <w:tc>
          <w:tcPr>
            <w:tcW w:w="350" w:type="pct"/>
            <w:vAlign w:val="center"/>
          </w:tcPr>
          <w:p>
            <w:pPr>
              <w:jc w:val="center"/>
              <w:rPr>
                <w:rFonts w:ascii="宋体" w:hAnsi="宋体" w:cs="宋体"/>
                <w:b/>
                <w:szCs w:val="21"/>
              </w:rPr>
            </w:pPr>
            <w:r>
              <w:rPr>
                <w:rFonts w:ascii="宋体" w:hAnsi="宋体" w:cs="Arial"/>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717" w:type="pct"/>
            <w:vAlign w:val="center"/>
          </w:tcPr>
          <w:p>
            <w:pPr>
              <w:jc w:val="center"/>
              <w:textAlignment w:val="center"/>
              <w:rPr>
                <w:rFonts w:ascii="宋体" w:hAnsi="宋体" w:cs="宋体"/>
                <w:szCs w:val="21"/>
              </w:rPr>
            </w:pPr>
            <w:r>
              <w:rPr>
                <w:rFonts w:hint="eastAsia" w:ascii="宋体" w:hAnsi="宋体" w:cs="宋体"/>
                <w:szCs w:val="21"/>
              </w:rPr>
              <w:t>系统及设备参数响应情况</w:t>
            </w:r>
          </w:p>
        </w:tc>
        <w:tc>
          <w:tcPr>
            <w:tcW w:w="463" w:type="pct"/>
            <w:vAlign w:val="center"/>
          </w:tcPr>
          <w:p>
            <w:pPr>
              <w:jc w:val="center"/>
              <w:textAlignment w:val="center"/>
              <w:rPr>
                <w:rFonts w:ascii="宋体" w:hAnsi="宋体" w:cs="宋体"/>
                <w:szCs w:val="21"/>
              </w:rPr>
            </w:pPr>
            <w:r>
              <w:rPr>
                <w:rFonts w:hint="eastAsia" w:ascii="宋体" w:hAnsi="宋体" w:cs="宋体"/>
                <w:szCs w:val="21"/>
              </w:rPr>
              <w:t>34</w:t>
            </w:r>
          </w:p>
        </w:tc>
        <w:tc>
          <w:tcPr>
            <w:tcW w:w="3469" w:type="pct"/>
            <w:vAlign w:val="center"/>
          </w:tcPr>
          <w:p>
            <w:pPr>
              <w:textAlignment w:val="center"/>
              <w:rPr>
                <w:rFonts w:ascii="宋体" w:hAnsi="宋体" w:cs="宋体"/>
                <w:szCs w:val="21"/>
              </w:rPr>
            </w:pPr>
            <w:r>
              <w:rPr>
                <w:rFonts w:hint="eastAsia" w:ascii="宋体" w:hAnsi="宋体" w:cs="宋体"/>
                <w:szCs w:val="21"/>
              </w:rPr>
              <w:t>系统性能及设备参数技术响应情况：设备参数技术要求中“▲”项，一项不满足扣3分；其他的要求，一项不满足扣1分，扣完为止。</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717" w:type="pct"/>
            <w:vAlign w:val="center"/>
          </w:tcPr>
          <w:p>
            <w:pPr>
              <w:jc w:val="center"/>
              <w:textAlignment w:val="center"/>
              <w:rPr>
                <w:rFonts w:ascii="宋体" w:hAnsi="宋体" w:cs="宋体"/>
                <w:szCs w:val="21"/>
              </w:rPr>
            </w:pPr>
            <w:r>
              <w:rPr>
                <w:rFonts w:hint="eastAsia" w:ascii="宋体" w:hAnsi="宋体" w:cs="宋体"/>
              </w:rPr>
              <w:t>项目实施方案</w:t>
            </w:r>
          </w:p>
        </w:tc>
        <w:tc>
          <w:tcPr>
            <w:tcW w:w="463" w:type="pct"/>
            <w:vAlign w:val="center"/>
          </w:tcPr>
          <w:p>
            <w:pPr>
              <w:jc w:val="center"/>
              <w:textAlignment w:val="center"/>
              <w:rPr>
                <w:rFonts w:ascii="宋体" w:hAnsi="宋体" w:cs="宋体"/>
                <w:szCs w:val="21"/>
              </w:rPr>
            </w:pPr>
            <w:r>
              <w:rPr>
                <w:rFonts w:hint="eastAsia" w:ascii="宋体" w:hAnsi="宋体" w:cs="宋体"/>
                <w:szCs w:val="21"/>
              </w:rPr>
              <w:t>3</w:t>
            </w:r>
          </w:p>
        </w:tc>
        <w:tc>
          <w:tcPr>
            <w:tcW w:w="3469" w:type="pct"/>
            <w:vAlign w:val="center"/>
          </w:tcPr>
          <w:p>
            <w:pPr>
              <w:spacing w:line="288" w:lineRule="auto"/>
              <w:rPr>
                <w:rFonts w:ascii="宋体" w:hAnsi="宋体" w:cs="宋体"/>
              </w:rPr>
            </w:pPr>
            <w:r>
              <w:rPr>
                <w:rFonts w:hint="eastAsia" w:ascii="宋体" w:hAnsi="宋体" w:cs="宋体"/>
              </w:rPr>
              <w:t>横向比较各投标人提供的项目实施方案，方案最为科学合理为优得4分，其次以0.5分递减，最低得0.5分；</w:t>
            </w:r>
          </w:p>
          <w:p>
            <w:pPr>
              <w:spacing w:line="288" w:lineRule="auto"/>
              <w:rPr>
                <w:rFonts w:ascii="宋体" w:hAnsi="宋体" w:cs="宋体"/>
              </w:rPr>
            </w:pPr>
            <w:r>
              <w:rPr>
                <w:rFonts w:hint="eastAsia" w:ascii="宋体" w:hAnsi="宋体" w:cs="宋体"/>
              </w:rPr>
              <w:t>未提供方案的不得分。</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717" w:type="pct"/>
            <w:vAlign w:val="center"/>
          </w:tcPr>
          <w:p>
            <w:pPr>
              <w:jc w:val="center"/>
              <w:textAlignment w:val="center"/>
              <w:rPr>
                <w:rFonts w:ascii="宋体" w:hAnsi="宋体" w:cs="宋体"/>
                <w:szCs w:val="21"/>
              </w:rPr>
            </w:pPr>
            <w:r>
              <w:rPr>
                <w:rFonts w:hint="eastAsia" w:ascii="宋体" w:hAnsi="宋体" w:cs="宋体"/>
                <w:szCs w:val="21"/>
              </w:rPr>
              <w:t>设备及系统使用及成熟情况</w:t>
            </w:r>
          </w:p>
        </w:tc>
        <w:tc>
          <w:tcPr>
            <w:tcW w:w="463" w:type="pct"/>
            <w:vAlign w:val="center"/>
          </w:tcPr>
          <w:p>
            <w:pPr>
              <w:jc w:val="center"/>
              <w:textAlignment w:val="center"/>
              <w:rPr>
                <w:rFonts w:ascii="宋体" w:hAnsi="宋体" w:cs="宋体"/>
                <w:szCs w:val="21"/>
              </w:rPr>
            </w:pPr>
            <w:r>
              <w:rPr>
                <w:rFonts w:hint="eastAsia" w:ascii="宋体" w:hAnsi="宋体" w:cs="宋体"/>
                <w:szCs w:val="21"/>
              </w:rPr>
              <w:t>3</w:t>
            </w:r>
          </w:p>
        </w:tc>
        <w:tc>
          <w:tcPr>
            <w:tcW w:w="3469" w:type="pct"/>
            <w:vAlign w:val="center"/>
          </w:tcPr>
          <w:p>
            <w:pPr>
              <w:textAlignment w:val="center"/>
              <w:rPr>
                <w:rFonts w:ascii="宋体" w:hAnsi="宋体" w:cs="宋体"/>
                <w:szCs w:val="21"/>
              </w:rPr>
            </w:pPr>
            <w:r>
              <w:rPr>
                <w:rFonts w:hint="eastAsia" w:ascii="宋体" w:hAnsi="宋体" w:cs="宋体"/>
                <w:szCs w:val="21"/>
              </w:rPr>
              <w:t>所有投标产品为已投入市场使用的成熟产品，非特制特供产品。需提供合同或协议做为证明材料，每一项产品不符合该要求，扣1分，扣完为止。</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17" w:type="pct"/>
            <w:vAlign w:val="center"/>
          </w:tcPr>
          <w:p>
            <w:pPr>
              <w:jc w:val="center"/>
              <w:textAlignment w:val="center"/>
              <w:rPr>
                <w:rFonts w:ascii="宋体" w:hAnsi="宋体" w:cs="宋体"/>
                <w:szCs w:val="21"/>
              </w:rPr>
            </w:pPr>
            <w:r>
              <w:rPr>
                <w:rFonts w:hint="eastAsia" w:ascii="宋体" w:hAnsi="宋体" w:cs="宋体"/>
                <w:szCs w:val="21"/>
              </w:rPr>
              <w:t>合计</w:t>
            </w:r>
          </w:p>
        </w:tc>
        <w:tc>
          <w:tcPr>
            <w:tcW w:w="463" w:type="pct"/>
            <w:vAlign w:val="center"/>
          </w:tcPr>
          <w:p>
            <w:pPr>
              <w:jc w:val="center"/>
              <w:textAlignment w:val="center"/>
              <w:rPr>
                <w:rFonts w:ascii="宋体" w:hAnsi="宋体" w:cs="宋体"/>
                <w:szCs w:val="21"/>
              </w:rPr>
            </w:pPr>
            <w:r>
              <w:rPr>
                <w:rFonts w:hint="eastAsia" w:ascii="宋体" w:hAnsi="宋体" w:cs="宋体"/>
                <w:szCs w:val="21"/>
              </w:rPr>
              <w:t>40</w:t>
            </w:r>
          </w:p>
        </w:tc>
        <w:tc>
          <w:tcPr>
            <w:tcW w:w="3469" w:type="pct"/>
            <w:vAlign w:val="center"/>
          </w:tcPr>
          <w:p>
            <w:pPr>
              <w:textAlignment w:val="center"/>
              <w:rPr>
                <w:rFonts w:ascii="宋体" w:hAnsi="宋体" w:cs="宋体"/>
                <w:szCs w:val="21"/>
              </w:rPr>
            </w:pPr>
          </w:p>
        </w:tc>
        <w:tc>
          <w:tcPr>
            <w:tcW w:w="350" w:type="pct"/>
            <w:vAlign w:val="center"/>
          </w:tcPr>
          <w:p>
            <w:pPr>
              <w:textAlignment w:val="center"/>
              <w:rPr>
                <w:rFonts w:ascii="宋体" w:hAnsi="宋体" w:cs="宋体"/>
                <w:szCs w:val="21"/>
              </w:rPr>
            </w:pPr>
          </w:p>
        </w:tc>
      </w:tr>
    </w:tbl>
    <w:p/>
    <w:p>
      <w:pPr>
        <w:pStyle w:val="2"/>
        <w:spacing w:before="200" w:afterLines="200"/>
      </w:pPr>
      <w:r>
        <w:rPr>
          <w:rFonts w:hint="eastAsia"/>
        </w:rPr>
        <w:t>商务评分：</w:t>
      </w:r>
    </w:p>
    <w:tbl>
      <w:tblPr>
        <w:tblStyle w:val="3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850"/>
        <w:gridCol w:w="6371"/>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7" w:type="pct"/>
            <w:vAlign w:val="center"/>
          </w:tcPr>
          <w:p>
            <w:pPr>
              <w:jc w:val="center"/>
              <w:rPr>
                <w:rFonts w:ascii="宋体" w:hAnsi="宋体" w:cs="宋体"/>
                <w:b/>
                <w:szCs w:val="21"/>
              </w:rPr>
            </w:pPr>
            <w:r>
              <w:rPr>
                <w:rFonts w:hint="eastAsia" w:ascii="宋体" w:hAnsi="宋体" w:cs="宋体"/>
                <w:b/>
                <w:szCs w:val="21"/>
              </w:rPr>
              <w:t>评分内容</w:t>
            </w:r>
          </w:p>
        </w:tc>
        <w:tc>
          <w:tcPr>
            <w:tcW w:w="463" w:type="pct"/>
            <w:vAlign w:val="center"/>
          </w:tcPr>
          <w:p>
            <w:pPr>
              <w:jc w:val="center"/>
              <w:rPr>
                <w:rFonts w:ascii="宋体" w:hAnsi="宋体" w:cs="宋体"/>
                <w:b/>
                <w:szCs w:val="21"/>
              </w:rPr>
            </w:pPr>
            <w:r>
              <w:rPr>
                <w:rFonts w:hint="eastAsia" w:ascii="宋体" w:hAnsi="宋体" w:cs="宋体"/>
                <w:b/>
                <w:szCs w:val="21"/>
              </w:rPr>
              <w:t>分值（25）</w:t>
            </w:r>
          </w:p>
        </w:tc>
        <w:tc>
          <w:tcPr>
            <w:tcW w:w="3470" w:type="pct"/>
            <w:vAlign w:val="center"/>
          </w:tcPr>
          <w:p>
            <w:pPr>
              <w:jc w:val="center"/>
              <w:rPr>
                <w:rFonts w:ascii="宋体" w:hAnsi="宋体" w:cs="宋体"/>
                <w:b/>
                <w:szCs w:val="21"/>
              </w:rPr>
            </w:pPr>
            <w:r>
              <w:rPr>
                <w:rFonts w:hint="eastAsia" w:ascii="宋体" w:hAnsi="宋体" w:cs="宋体"/>
                <w:b/>
                <w:szCs w:val="21"/>
              </w:rPr>
              <w:t>评分细则</w:t>
            </w:r>
          </w:p>
        </w:tc>
        <w:tc>
          <w:tcPr>
            <w:tcW w:w="350" w:type="pct"/>
            <w:vAlign w:val="center"/>
          </w:tcPr>
          <w:p>
            <w:pPr>
              <w:jc w:val="center"/>
              <w:rPr>
                <w:rFonts w:ascii="宋体" w:hAnsi="宋体" w:cs="宋体"/>
                <w:b/>
                <w:szCs w:val="21"/>
              </w:rPr>
            </w:pPr>
            <w:r>
              <w:rPr>
                <w:rFonts w:ascii="宋体" w:hAnsi="宋体" w:cs="Arial"/>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Align w:val="center"/>
          </w:tcPr>
          <w:p>
            <w:pPr>
              <w:spacing w:line="276" w:lineRule="auto"/>
              <w:jc w:val="center"/>
              <w:rPr>
                <w:rFonts w:ascii="宋体" w:hAnsi="宋体"/>
                <w:szCs w:val="21"/>
              </w:rPr>
            </w:pPr>
            <w:r>
              <w:rPr>
                <w:rFonts w:hint="eastAsia"/>
              </w:rPr>
              <w:t>标书质量（客观分）</w:t>
            </w:r>
          </w:p>
        </w:tc>
        <w:tc>
          <w:tcPr>
            <w:tcW w:w="463" w:type="pct"/>
            <w:vAlign w:val="center"/>
          </w:tcPr>
          <w:p>
            <w:pPr>
              <w:spacing w:line="276" w:lineRule="auto"/>
              <w:jc w:val="center"/>
              <w:rPr>
                <w:rFonts w:ascii="宋体" w:hAnsi="宋体"/>
                <w:szCs w:val="21"/>
              </w:rPr>
            </w:pPr>
            <w:r>
              <w:rPr>
                <w:rFonts w:hint="eastAsia" w:ascii="宋体" w:hAnsi="宋体"/>
                <w:szCs w:val="21"/>
              </w:rPr>
              <w:t>4</w:t>
            </w:r>
          </w:p>
        </w:tc>
        <w:tc>
          <w:tcPr>
            <w:tcW w:w="3470" w:type="pct"/>
            <w:vAlign w:val="center"/>
          </w:tcPr>
          <w:p>
            <w:r>
              <w:rPr>
                <w:rFonts w:hint="eastAsia"/>
              </w:rPr>
              <w:t>有目录索引、页码无错乱、标题、编号、正文、表格等排版规范得2分，每出现一个错误扣1分，扣完为止。</w:t>
            </w:r>
          </w:p>
          <w:p>
            <w:r>
              <w:rPr>
                <w:rFonts w:hint="eastAsia"/>
              </w:rPr>
              <w:t>双面打印得1分（除证件外）。</w:t>
            </w:r>
          </w:p>
          <w:p>
            <w:pPr>
              <w:spacing w:line="276" w:lineRule="auto"/>
              <w:rPr>
                <w:rFonts w:ascii="宋体" w:hAnsi="宋体"/>
                <w:szCs w:val="21"/>
              </w:rPr>
            </w:pPr>
            <w:r>
              <w:rPr>
                <w:rFonts w:hint="eastAsia"/>
              </w:rPr>
              <w:t>证件复印、正文内容清晰得1分，每有一个证件或一页不清晰扣0.5分，扣完为止。</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Align w:val="center"/>
          </w:tcPr>
          <w:p>
            <w:pPr>
              <w:jc w:val="center"/>
              <w:textAlignment w:val="center"/>
              <w:rPr>
                <w:rFonts w:ascii="宋体" w:hAnsi="宋体" w:cs="宋体"/>
                <w:szCs w:val="21"/>
              </w:rPr>
            </w:pPr>
            <w:r>
              <w:rPr>
                <w:rFonts w:hint="eastAsia" w:ascii="宋体" w:hAnsi="宋体"/>
                <w:szCs w:val="21"/>
              </w:rPr>
              <w:t>商务响应程度</w:t>
            </w:r>
          </w:p>
        </w:tc>
        <w:tc>
          <w:tcPr>
            <w:tcW w:w="463" w:type="pct"/>
            <w:vAlign w:val="center"/>
          </w:tcPr>
          <w:p>
            <w:pPr>
              <w:jc w:val="center"/>
              <w:textAlignment w:val="center"/>
              <w:rPr>
                <w:rFonts w:ascii="宋体" w:hAnsi="宋体" w:cs="宋体"/>
                <w:szCs w:val="21"/>
              </w:rPr>
            </w:pPr>
            <w:r>
              <w:rPr>
                <w:rFonts w:hint="eastAsia" w:ascii="宋体" w:hAnsi="宋体" w:cs="宋体"/>
                <w:szCs w:val="21"/>
              </w:rPr>
              <w:t>8</w:t>
            </w:r>
          </w:p>
        </w:tc>
        <w:tc>
          <w:tcPr>
            <w:tcW w:w="3470" w:type="pct"/>
            <w:vAlign w:val="center"/>
          </w:tcPr>
          <w:p>
            <w:pPr>
              <w:textAlignment w:val="center"/>
              <w:rPr>
                <w:rFonts w:ascii="宋体" w:hAnsi="宋体" w:cs="宋体"/>
                <w:szCs w:val="21"/>
              </w:rPr>
            </w:pPr>
            <w:r>
              <w:rPr>
                <w:rFonts w:hint="eastAsia"/>
              </w:rPr>
              <w:t>满足需求文件中商务要求的全部指标得满分，每不满足一项扣2分，扣完为止。</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Align w:val="center"/>
          </w:tcPr>
          <w:p>
            <w:pPr>
              <w:jc w:val="center"/>
              <w:textAlignment w:val="center"/>
              <w:rPr>
                <w:rFonts w:ascii="宋体" w:hAnsi="宋体" w:cs="Arial"/>
                <w:szCs w:val="21"/>
              </w:rPr>
            </w:pPr>
            <w:r>
              <w:rPr>
                <w:rFonts w:hint="eastAsia" w:ascii="宋体" w:hAnsi="宋体"/>
                <w:szCs w:val="21"/>
              </w:rPr>
              <w:t>项目业绩</w:t>
            </w:r>
          </w:p>
        </w:tc>
        <w:tc>
          <w:tcPr>
            <w:tcW w:w="463" w:type="pct"/>
            <w:vAlign w:val="center"/>
          </w:tcPr>
          <w:p>
            <w:pPr>
              <w:jc w:val="center"/>
              <w:textAlignment w:val="center"/>
              <w:rPr>
                <w:rFonts w:ascii="宋体" w:hAnsi="宋体" w:cs="宋体"/>
                <w:szCs w:val="21"/>
              </w:rPr>
            </w:pPr>
            <w:r>
              <w:rPr>
                <w:rFonts w:hint="eastAsia" w:ascii="宋体" w:hAnsi="宋体" w:cs="宋体"/>
                <w:szCs w:val="21"/>
              </w:rPr>
              <w:t>8</w:t>
            </w:r>
          </w:p>
        </w:tc>
        <w:tc>
          <w:tcPr>
            <w:tcW w:w="3470" w:type="pct"/>
            <w:vAlign w:val="center"/>
          </w:tcPr>
          <w:p>
            <w:pPr>
              <w:textAlignment w:val="center"/>
              <w:rPr>
                <w:rFonts w:ascii="宋体" w:hAnsi="宋体" w:cs="Arial"/>
                <w:szCs w:val="21"/>
              </w:rPr>
            </w:pPr>
            <w:r>
              <w:rPr>
                <w:rFonts w:hint="eastAsia" w:ascii="宋体" w:hAnsi="宋体" w:cs="Arial"/>
                <w:szCs w:val="21"/>
              </w:rPr>
              <w:t>近三年投标人的同类项目经验。</w:t>
            </w:r>
          </w:p>
          <w:p>
            <w:pPr>
              <w:textAlignment w:val="center"/>
              <w:rPr>
                <w:rFonts w:ascii="宋体" w:hAnsi="宋体" w:cs="Arial"/>
                <w:szCs w:val="21"/>
              </w:rPr>
            </w:pPr>
            <w:r>
              <w:rPr>
                <w:rFonts w:hint="eastAsia" w:ascii="宋体" w:hAnsi="宋体" w:cs="Arial"/>
                <w:szCs w:val="21"/>
              </w:rPr>
              <w:t>需提供与本项目相关的同类合同，每提供一个合同复印件得2分，最高得10分。</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Align w:val="center"/>
          </w:tcPr>
          <w:p>
            <w:pPr>
              <w:jc w:val="center"/>
              <w:textAlignment w:val="center"/>
              <w:rPr>
                <w:rFonts w:ascii="宋体" w:hAnsi="宋体"/>
                <w:szCs w:val="21"/>
              </w:rPr>
            </w:pPr>
            <w:r>
              <w:rPr>
                <w:rFonts w:hint="eastAsia" w:ascii="宋体" w:hAnsi="宋体"/>
                <w:szCs w:val="21"/>
              </w:rPr>
              <w:t>合计</w:t>
            </w:r>
          </w:p>
        </w:tc>
        <w:tc>
          <w:tcPr>
            <w:tcW w:w="463" w:type="pct"/>
            <w:vAlign w:val="center"/>
          </w:tcPr>
          <w:p>
            <w:pPr>
              <w:jc w:val="center"/>
              <w:textAlignment w:val="center"/>
              <w:rPr>
                <w:rFonts w:ascii="宋体" w:hAnsi="宋体" w:cs="宋体"/>
                <w:szCs w:val="21"/>
              </w:rPr>
            </w:pPr>
            <w:r>
              <w:rPr>
                <w:rFonts w:hint="eastAsia" w:ascii="宋体" w:hAnsi="宋体" w:cs="宋体"/>
                <w:szCs w:val="21"/>
              </w:rPr>
              <w:t>20</w:t>
            </w:r>
          </w:p>
        </w:tc>
        <w:tc>
          <w:tcPr>
            <w:tcW w:w="3470" w:type="pct"/>
            <w:vAlign w:val="center"/>
          </w:tcPr>
          <w:p>
            <w:pPr>
              <w:textAlignment w:val="center"/>
              <w:rPr>
                <w:rFonts w:ascii="宋体" w:hAnsi="宋体" w:cs="Arial"/>
                <w:szCs w:val="21"/>
              </w:rPr>
            </w:pPr>
          </w:p>
        </w:tc>
        <w:tc>
          <w:tcPr>
            <w:tcW w:w="350" w:type="pct"/>
            <w:vAlign w:val="center"/>
          </w:tcPr>
          <w:p>
            <w:pPr>
              <w:textAlignment w:val="center"/>
              <w:rPr>
                <w:rFonts w:ascii="宋体" w:hAnsi="宋体" w:cs="宋体"/>
                <w:szCs w:val="21"/>
              </w:rPr>
            </w:pPr>
          </w:p>
        </w:tc>
      </w:tr>
    </w:tbl>
    <w:p>
      <w:pPr>
        <w:spacing w:line="360" w:lineRule="exact"/>
        <w:rPr>
          <w:rFonts w:ascii="宋体" w:hAnsi="宋体" w:cs="Arial"/>
          <w:bCs/>
        </w:rPr>
      </w:pPr>
    </w:p>
    <w:sectPr>
      <w:pgSz w:w="11906" w:h="16838"/>
      <w:pgMar w:top="850" w:right="850" w:bottom="850" w:left="850"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93D19"/>
    <w:multiLevelType w:val="multilevel"/>
    <w:tmpl w:val="28993D19"/>
    <w:lvl w:ilvl="0" w:tentative="0">
      <w:start w:val="1"/>
      <w:numFmt w:val="decimal"/>
      <w:lvlText w:val="%1."/>
      <w:lvlJc w:val="left"/>
      <w:pPr>
        <w:tabs>
          <w:tab w:val="left" w:pos="1571"/>
        </w:tabs>
        <w:ind w:left="1571" w:hanging="851"/>
      </w:pPr>
      <w:rPr>
        <w:rFonts w:hint="eastAsia" w:eastAsia="宋体"/>
        <w:b/>
        <w:i w:val="0"/>
        <w:sz w:val="24"/>
      </w:rPr>
    </w:lvl>
    <w:lvl w:ilvl="1" w:tentative="0">
      <w:start w:val="1"/>
      <w:numFmt w:val="decimal"/>
      <w:lvlText w:val="（%2）"/>
      <w:lvlJc w:val="left"/>
      <w:pPr>
        <w:tabs>
          <w:tab w:val="left" w:pos="720"/>
        </w:tabs>
        <w:ind w:left="720" w:hanging="720"/>
      </w:pPr>
      <w:rPr>
        <w:rFonts w:hint="default"/>
        <w:b/>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
    <w:nsid w:val="4F9F5995"/>
    <w:multiLevelType w:val="multilevel"/>
    <w:tmpl w:val="4F9F5995"/>
    <w:lvl w:ilvl="0" w:tentative="0">
      <w:start w:val="2"/>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58C22F6"/>
    <w:multiLevelType w:val="singleLevel"/>
    <w:tmpl w:val="558C22F6"/>
    <w:lvl w:ilvl="0" w:tentative="0">
      <w:start w:val="8"/>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79"/>
    <w:rsid w:val="00005F7D"/>
    <w:rsid w:val="0000766A"/>
    <w:rsid w:val="00007FA2"/>
    <w:rsid w:val="00014D22"/>
    <w:rsid w:val="00024EB7"/>
    <w:rsid w:val="000261C5"/>
    <w:rsid w:val="000262EF"/>
    <w:rsid w:val="00033AB9"/>
    <w:rsid w:val="00037A20"/>
    <w:rsid w:val="000451D5"/>
    <w:rsid w:val="0004758B"/>
    <w:rsid w:val="000523FB"/>
    <w:rsid w:val="00053635"/>
    <w:rsid w:val="00055995"/>
    <w:rsid w:val="000569AF"/>
    <w:rsid w:val="0008286B"/>
    <w:rsid w:val="00084561"/>
    <w:rsid w:val="000B3BB4"/>
    <w:rsid w:val="000B4503"/>
    <w:rsid w:val="000C0D19"/>
    <w:rsid w:val="000C6BCA"/>
    <w:rsid w:val="000D0883"/>
    <w:rsid w:val="000D1EB9"/>
    <w:rsid w:val="000D352A"/>
    <w:rsid w:val="000E2F2F"/>
    <w:rsid w:val="000E7928"/>
    <w:rsid w:val="000F3C8F"/>
    <w:rsid w:val="000F70DE"/>
    <w:rsid w:val="00104E0B"/>
    <w:rsid w:val="001100C4"/>
    <w:rsid w:val="0011295E"/>
    <w:rsid w:val="00122D33"/>
    <w:rsid w:val="00127DC0"/>
    <w:rsid w:val="0013634C"/>
    <w:rsid w:val="001457EE"/>
    <w:rsid w:val="00147739"/>
    <w:rsid w:val="0015039A"/>
    <w:rsid w:val="001540A9"/>
    <w:rsid w:val="00172A27"/>
    <w:rsid w:val="001733EF"/>
    <w:rsid w:val="00186E6D"/>
    <w:rsid w:val="00187B92"/>
    <w:rsid w:val="00187C98"/>
    <w:rsid w:val="00191613"/>
    <w:rsid w:val="00191F1A"/>
    <w:rsid w:val="0019467B"/>
    <w:rsid w:val="00197B0D"/>
    <w:rsid w:val="001A3A82"/>
    <w:rsid w:val="001B090F"/>
    <w:rsid w:val="001B5593"/>
    <w:rsid w:val="001C177F"/>
    <w:rsid w:val="001D179B"/>
    <w:rsid w:val="001E030D"/>
    <w:rsid w:val="001E2FAE"/>
    <w:rsid w:val="001E48F1"/>
    <w:rsid w:val="001E4C3A"/>
    <w:rsid w:val="001F4D81"/>
    <w:rsid w:val="001F7860"/>
    <w:rsid w:val="002072E6"/>
    <w:rsid w:val="00225C06"/>
    <w:rsid w:val="002432D2"/>
    <w:rsid w:val="002465C9"/>
    <w:rsid w:val="002501DA"/>
    <w:rsid w:val="00253C0F"/>
    <w:rsid w:val="00261573"/>
    <w:rsid w:val="00270255"/>
    <w:rsid w:val="00270B8C"/>
    <w:rsid w:val="00272267"/>
    <w:rsid w:val="0027254A"/>
    <w:rsid w:val="00274AF5"/>
    <w:rsid w:val="00280686"/>
    <w:rsid w:val="00291EBF"/>
    <w:rsid w:val="00294686"/>
    <w:rsid w:val="002A12B3"/>
    <w:rsid w:val="002A5880"/>
    <w:rsid w:val="002A6BA4"/>
    <w:rsid w:val="002B1768"/>
    <w:rsid w:val="002C0BC2"/>
    <w:rsid w:val="002C3696"/>
    <w:rsid w:val="002C6674"/>
    <w:rsid w:val="002D1A03"/>
    <w:rsid w:val="002D20A8"/>
    <w:rsid w:val="002D384D"/>
    <w:rsid w:val="002D55CB"/>
    <w:rsid w:val="002E2D5D"/>
    <w:rsid w:val="002E4EEB"/>
    <w:rsid w:val="002F34D2"/>
    <w:rsid w:val="003005BF"/>
    <w:rsid w:val="00302AD6"/>
    <w:rsid w:val="00310C56"/>
    <w:rsid w:val="00312B3B"/>
    <w:rsid w:val="0032351F"/>
    <w:rsid w:val="00335C2E"/>
    <w:rsid w:val="003431C4"/>
    <w:rsid w:val="003509D2"/>
    <w:rsid w:val="00351417"/>
    <w:rsid w:val="0035320A"/>
    <w:rsid w:val="0035552D"/>
    <w:rsid w:val="003559C8"/>
    <w:rsid w:val="00384AF1"/>
    <w:rsid w:val="00395CDF"/>
    <w:rsid w:val="00396A5F"/>
    <w:rsid w:val="003A30A8"/>
    <w:rsid w:val="003B2CCA"/>
    <w:rsid w:val="003D3F25"/>
    <w:rsid w:val="003D49C1"/>
    <w:rsid w:val="003E08C2"/>
    <w:rsid w:val="003E28B7"/>
    <w:rsid w:val="003E4680"/>
    <w:rsid w:val="003E7880"/>
    <w:rsid w:val="003F585F"/>
    <w:rsid w:val="003F60E4"/>
    <w:rsid w:val="00407434"/>
    <w:rsid w:val="00410749"/>
    <w:rsid w:val="00412870"/>
    <w:rsid w:val="00413CF0"/>
    <w:rsid w:val="004214F1"/>
    <w:rsid w:val="00421E84"/>
    <w:rsid w:val="0042501F"/>
    <w:rsid w:val="00444B21"/>
    <w:rsid w:val="00462108"/>
    <w:rsid w:val="00474DD1"/>
    <w:rsid w:val="0047579C"/>
    <w:rsid w:val="00480ABD"/>
    <w:rsid w:val="00497F68"/>
    <w:rsid w:val="004A1F14"/>
    <w:rsid w:val="004A2BF2"/>
    <w:rsid w:val="004A7E27"/>
    <w:rsid w:val="004B574E"/>
    <w:rsid w:val="004C5E75"/>
    <w:rsid w:val="004C79F7"/>
    <w:rsid w:val="004D0612"/>
    <w:rsid w:val="004D2EB2"/>
    <w:rsid w:val="004D31E7"/>
    <w:rsid w:val="004D4B00"/>
    <w:rsid w:val="004E3BEC"/>
    <w:rsid w:val="004E5875"/>
    <w:rsid w:val="004E7855"/>
    <w:rsid w:val="004F79F2"/>
    <w:rsid w:val="00511B6B"/>
    <w:rsid w:val="00513147"/>
    <w:rsid w:val="00514EE1"/>
    <w:rsid w:val="005157F8"/>
    <w:rsid w:val="00515B16"/>
    <w:rsid w:val="00516404"/>
    <w:rsid w:val="00516F78"/>
    <w:rsid w:val="005207B4"/>
    <w:rsid w:val="00520A16"/>
    <w:rsid w:val="0052479B"/>
    <w:rsid w:val="00530509"/>
    <w:rsid w:val="00533000"/>
    <w:rsid w:val="00541280"/>
    <w:rsid w:val="005446F9"/>
    <w:rsid w:val="00557937"/>
    <w:rsid w:val="005603D5"/>
    <w:rsid w:val="00567782"/>
    <w:rsid w:val="0057122E"/>
    <w:rsid w:val="0057626D"/>
    <w:rsid w:val="0057634F"/>
    <w:rsid w:val="00596EA1"/>
    <w:rsid w:val="005B02EA"/>
    <w:rsid w:val="005B295E"/>
    <w:rsid w:val="005E6DDD"/>
    <w:rsid w:val="005F544C"/>
    <w:rsid w:val="006003FF"/>
    <w:rsid w:val="00605C7E"/>
    <w:rsid w:val="006122D8"/>
    <w:rsid w:val="00613363"/>
    <w:rsid w:val="00615D58"/>
    <w:rsid w:val="00621FDC"/>
    <w:rsid w:val="006301A8"/>
    <w:rsid w:val="00634F96"/>
    <w:rsid w:val="00644E17"/>
    <w:rsid w:val="0064657A"/>
    <w:rsid w:val="0064664C"/>
    <w:rsid w:val="00652C73"/>
    <w:rsid w:val="00670817"/>
    <w:rsid w:val="006842AF"/>
    <w:rsid w:val="006844A9"/>
    <w:rsid w:val="00685D75"/>
    <w:rsid w:val="006870C9"/>
    <w:rsid w:val="006B1360"/>
    <w:rsid w:val="006C0245"/>
    <w:rsid w:val="006C7493"/>
    <w:rsid w:val="006D38E7"/>
    <w:rsid w:val="006E027D"/>
    <w:rsid w:val="006E3BED"/>
    <w:rsid w:val="006E4E06"/>
    <w:rsid w:val="006F6FB0"/>
    <w:rsid w:val="007026A0"/>
    <w:rsid w:val="00710212"/>
    <w:rsid w:val="00710F88"/>
    <w:rsid w:val="0073551D"/>
    <w:rsid w:val="00736308"/>
    <w:rsid w:val="00745AF6"/>
    <w:rsid w:val="00751C9B"/>
    <w:rsid w:val="007555F5"/>
    <w:rsid w:val="00757A6E"/>
    <w:rsid w:val="00757D8A"/>
    <w:rsid w:val="007605A2"/>
    <w:rsid w:val="00764D57"/>
    <w:rsid w:val="00765BE6"/>
    <w:rsid w:val="0076691B"/>
    <w:rsid w:val="00772396"/>
    <w:rsid w:val="007842C4"/>
    <w:rsid w:val="007A43CE"/>
    <w:rsid w:val="007B2130"/>
    <w:rsid w:val="007C1825"/>
    <w:rsid w:val="007C3A38"/>
    <w:rsid w:val="007D582A"/>
    <w:rsid w:val="007E1290"/>
    <w:rsid w:val="007E3A6B"/>
    <w:rsid w:val="007E5DB4"/>
    <w:rsid w:val="00814C71"/>
    <w:rsid w:val="00815B74"/>
    <w:rsid w:val="008264F5"/>
    <w:rsid w:val="00832DFA"/>
    <w:rsid w:val="008352EE"/>
    <w:rsid w:val="00837087"/>
    <w:rsid w:val="00842667"/>
    <w:rsid w:val="00870836"/>
    <w:rsid w:val="008729D9"/>
    <w:rsid w:val="00876364"/>
    <w:rsid w:val="008777AB"/>
    <w:rsid w:val="008801C7"/>
    <w:rsid w:val="00892D67"/>
    <w:rsid w:val="008A0ADD"/>
    <w:rsid w:val="008A63D1"/>
    <w:rsid w:val="008A677D"/>
    <w:rsid w:val="008B28CD"/>
    <w:rsid w:val="008B519B"/>
    <w:rsid w:val="008B715C"/>
    <w:rsid w:val="008B7915"/>
    <w:rsid w:val="008B7F06"/>
    <w:rsid w:val="008C21B0"/>
    <w:rsid w:val="008C5415"/>
    <w:rsid w:val="008E5DD6"/>
    <w:rsid w:val="008F6F35"/>
    <w:rsid w:val="00904135"/>
    <w:rsid w:val="009101A7"/>
    <w:rsid w:val="00910912"/>
    <w:rsid w:val="00917896"/>
    <w:rsid w:val="009215F6"/>
    <w:rsid w:val="00923E49"/>
    <w:rsid w:val="009301EB"/>
    <w:rsid w:val="00930A0E"/>
    <w:rsid w:val="009373B7"/>
    <w:rsid w:val="00944325"/>
    <w:rsid w:val="0095401A"/>
    <w:rsid w:val="0095531F"/>
    <w:rsid w:val="00956853"/>
    <w:rsid w:val="00965404"/>
    <w:rsid w:val="00966161"/>
    <w:rsid w:val="00966670"/>
    <w:rsid w:val="00982866"/>
    <w:rsid w:val="0098477F"/>
    <w:rsid w:val="00987BF9"/>
    <w:rsid w:val="009B0DFE"/>
    <w:rsid w:val="009B5FA9"/>
    <w:rsid w:val="009C2F7C"/>
    <w:rsid w:val="009C30FD"/>
    <w:rsid w:val="009C639B"/>
    <w:rsid w:val="009D2072"/>
    <w:rsid w:val="009D513A"/>
    <w:rsid w:val="009E0E61"/>
    <w:rsid w:val="009E7692"/>
    <w:rsid w:val="009E76CD"/>
    <w:rsid w:val="009F0532"/>
    <w:rsid w:val="009F45AF"/>
    <w:rsid w:val="00A00C14"/>
    <w:rsid w:val="00A047B2"/>
    <w:rsid w:val="00A12CBB"/>
    <w:rsid w:val="00A16C54"/>
    <w:rsid w:val="00A218D9"/>
    <w:rsid w:val="00A21B7E"/>
    <w:rsid w:val="00A22BC2"/>
    <w:rsid w:val="00A3007B"/>
    <w:rsid w:val="00A407ED"/>
    <w:rsid w:val="00A570F7"/>
    <w:rsid w:val="00A631FD"/>
    <w:rsid w:val="00A642E5"/>
    <w:rsid w:val="00A65959"/>
    <w:rsid w:val="00A85CCC"/>
    <w:rsid w:val="00AA1E09"/>
    <w:rsid w:val="00AA2330"/>
    <w:rsid w:val="00AA32B6"/>
    <w:rsid w:val="00AA364C"/>
    <w:rsid w:val="00AB045F"/>
    <w:rsid w:val="00AB0AAE"/>
    <w:rsid w:val="00AD2A78"/>
    <w:rsid w:val="00AE7D98"/>
    <w:rsid w:val="00AF05FF"/>
    <w:rsid w:val="00AF238E"/>
    <w:rsid w:val="00AF2E4B"/>
    <w:rsid w:val="00B035D2"/>
    <w:rsid w:val="00B056A2"/>
    <w:rsid w:val="00B125D3"/>
    <w:rsid w:val="00B201E6"/>
    <w:rsid w:val="00B21D0C"/>
    <w:rsid w:val="00B3078F"/>
    <w:rsid w:val="00B309C0"/>
    <w:rsid w:val="00B323D8"/>
    <w:rsid w:val="00B34BA6"/>
    <w:rsid w:val="00B4728D"/>
    <w:rsid w:val="00B504AF"/>
    <w:rsid w:val="00B605F0"/>
    <w:rsid w:val="00B62641"/>
    <w:rsid w:val="00B72270"/>
    <w:rsid w:val="00B771EC"/>
    <w:rsid w:val="00B86AC5"/>
    <w:rsid w:val="00B9244F"/>
    <w:rsid w:val="00BA0F1D"/>
    <w:rsid w:val="00BA3DDD"/>
    <w:rsid w:val="00BA7C62"/>
    <w:rsid w:val="00BB55A3"/>
    <w:rsid w:val="00BD1AB0"/>
    <w:rsid w:val="00BD230A"/>
    <w:rsid w:val="00BE2CE0"/>
    <w:rsid w:val="00BF7D17"/>
    <w:rsid w:val="00C0019C"/>
    <w:rsid w:val="00C2423E"/>
    <w:rsid w:val="00C26DE4"/>
    <w:rsid w:val="00C31A80"/>
    <w:rsid w:val="00C36C63"/>
    <w:rsid w:val="00C36F9A"/>
    <w:rsid w:val="00C47E58"/>
    <w:rsid w:val="00C52B92"/>
    <w:rsid w:val="00C55ACB"/>
    <w:rsid w:val="00C720BB"/>
    <w:rsid w:val="00C73701"/>
    <w:rsid w:val="00C74FC4"/>
    <w:rsid w:val="00C76271"/>
    <w:rsid w:val="00C803C7"/>
    <w:rsid w:val="00C81021"/>
    <w:rsid w:val="00C84624"/>
    <w:rsid w:val="00C86A21"/>
    <w:rsid w:val="00C86AD1"/>
    <w:rsid w:val="00C91D2D"/>
    <w:rsid w:val="00C933AB"/>
    <w:rsid w:val="00C9486F"/>
    <w:rsid w:val="00C94B8E"/>
    <w:rsid w:val="00C96ED1"/>
    <w:rsid w:val="00C97899"/>
    <w:rsid w:val="00CA3768"/>
    <w:rsid w:val="00CA7E4F"/>
    <w:rsid w:val="00CB1A6C"/>
    <w:rsid w:val="00CB1E65"/>
    <w:rsid w:val="00CC2DC5"/>
    <w:rsid w:val="00CC5635"/>
    <w:rsid w:val="00CE1D7B"/>
    <w:rsid w:val="00D03B79"/>
    <w:rsid w:val="00D12098"/>
    <w:rsid w:val="00D16BE6"/>
    <w:rsid w:val="00D32C42"/>
    <w:rsid w:val="00D40BB2"/>
    <w:rsid w:val="00D46D61"/>
    <w:rsid w:val="00D54098"/>
    <w:rsid w:val="00D55DA3"/>
    <w:rsid w:val="00D57570"/>
    <w:rsid w:val="00D606C0"/>
    <w:rsid w:val="00D80DF6"/>
    <w:rsid w:val="00D90B87"/>
    <w:rsid w:val="00D92BEC"/>
    <w:rsid w:val="00DB0BF9"/>
    <w:rsid w:val="00DB3086"/>
    <w:rsid w:val="00DB4372"/>
    <w:rsid w:val="00DB71CE"/>
    <w:rsid w:val="00DC4379"/>
    <w:rsid w:val="00DC4AF8"/>
    <w:rsid w:val="00DD1CA5"/>
    <w:rsid w:val="00DD651D"/>
    <w:rsid w:val="00DE0295"/>
    <w:rsid w:val="00DE48AE"/>
    <w:rsid w:val="00DE4FDA"/>
    <w:rsid w:val="00DE5848"/>
    <w:rsid w:val="00DE6485"/>
    <w:rsid w:val="00DF3C4C"/>
    <w:rsid w:val="00DF424E"/>
    <w:rsid w:val="00DF448A"/>
    <w:rsid w:val="00E07AED"/>
    <w:rsid w:val="00E114A3"/>
    <w:rsid w:val="00E15FCE"/>
    <w:rsid w:val="00E41B09"/>
    <w:rsid w:val="00E46641"/>
    <w:rsid w:val="00E71158"/>
    <w:rsid w:val="00E74994"/>
    <w:rsid w:val="00E76D39"/>
    <w:rsid w:val="00E87839"/>
    <w:rsid w:val="00E90225"/>
    <w:rsid w:val="00E911BF"/>
    <w:rsid w:val="00E941B4"/>
    <w:rsid w:val="00E946CA"/>
    <w:rsid w:val="00E96ED0"/>
    <w:rsid w:val="00EB6F9B"/>
    <w:rsid w:val="00EC1923"/>
    <w:rsid w:val="00EC35E8"/>
    <w:rsid w:val="00EC472C"/>
    <w:rsid w:val="00EC6792"/>
    <w:rsid w:val="00ED4D78"/>
    <w:rsid w:val="00ED5A8C"/>
    <w:rsid w:val="00EE09F9"/>
    <w:rsid w:val="00EE23B8"/>
    <w:rsid w:val="00EE539E"/>
    <w:rsid w:val="00EE6C0F"/>
    <w:rsid w:val="00EF499C"/>
    <w:rsid w:val="00F034D4"/>
    <w:rsid w:val="00F0602A"/>
    <w:rsid w:val="00F21743"/>
    <w:rsid w:val="00F268FF"/>
    <w:rsid w:val="00F27DD9"/>
    <w:rsid w:val="00F32840"/>
    <w:rsid w:val="00F37FE1"/>
    <w:rsid w:val="00F40E71"/>
    <w:rsid w:val="00F41408"/>
    <w:rsid w:val="00F458F5"/>
    <w:rsid w:val="00F5152E"/>
    <w:rsid w:val="00F62D8D"/>
    <w:rsid w:val="00F80EE7"/>
    <w:rsid w:val="00F90D49"/>
    <w:rsid w:val="00F92DE2"/>
    <w:rsid w:val="00FA1582"/>
    <w:rsid w:val="00FB1298"/>
    <w:rsid w:val="00FB3F5B"/>
    <w:rsid w:val="00FB6666"/>
    <w:rsid w:val="00FB6CE8"/>
    <w:rsid w:val="00FB74EC"/>
    <w:rsid w:val="00FC2788"/>
    <w:rsid w:val="00FE0B03"/>
    <w:rsid w:val="00FE4EC3"/>
    <w:rsid w:val="00FF0A0F"/>
    <w:rsid w:val="018F529B"/>
    <w:rsid w:val="03C255BA"/>
    <w:rsid w:val="054B4DED"/>
    <w:rsid w:val="0623601E"/>
    <w:rsid w:val="08AE3149"/>
    <w:rsid w:val="08B84D5E"/>
    <w:rsid w:val="08D43F56"/>
    <w:rsid w:val="0AB66DA2"/>
    <w:rsid w:val="0AED147A"/>
    <w:rsid w:val="0C3222BA"/>
    <w:rsid w:val="0C89471E"/>
    <w:rsid w:val="0CC0267A"/>
    <w:rsid w:val="0E263246"/>
    <w:rsid w:val="0EB32AAA"/>
    <w:rsid w:val="0F4053B3"/>
    <w:rsid w:val="105E48A5"/>
    <w:rsid w:val="11755B31"/>
    <w:rsid w:val="11AB3E0C"/>
    <w:rsid w:val="11D70369"/>
    <w:rsid w:val="13E968BA"/>
    <w:rsid w:val="14F831F4"/>
    <w:rsid w:val="15C75E4B"/>
    <w:rsid w:val="177B0A5E"/>
    <w:rsid w:val="18740F2C"/>
    <w:rsid w:val="1B2A271F"/>
    <w:rsid w:val="1CA62F10"/>
    <w:rsid w:val="1CF41304"/>
    <w:rsid w:val="1D502C1D"/>
    <w:rsid w:val="1DD522FD"/>
    <w:rsid w:val="1E0C3ADC"/>
    <w:rsid w:val="20970C07"/>
    <w:rsid w:val="20EE1616"/>
    <w:rsid w:val="225F01F3"/>
    <w:rsid w:val="228A4AC7"/>
    <w:rsid w:val="23BA2A2E"/>
    <w:rsid w:val="24D50BFC"/>
    <w:rsid w:val="24F56F32"/>
    <w:rsid w:val="26435B80"/>
    <w:rsid w:val="27571B47"/>
    <w:rsid w:val="28701767"/>
    <w:rsid w:val="28BC0562"/>
    <w:rsid w:val="29D57903"/>
    <w:rsid w:val="2C320FE3"/>
    <w:rsid w:val="2C977E8C"/>
    <w:rsid w:val="2DC75458"/>
    <w:rsid w:val="2DD2603B"/>
    <w:rsid w:val="2F6E12E0"/>
    <w:rsid w:val="2F797671"/>
    <w:rsid w:val="2F9959A7"/>
    <w:rsid w:val="30E07EBD"/>
    <w:rsid w:val="310B4584"/>
    <w:rsid w:val="31416C5C"/>
    <w:rsid w:val="314E204B"/>
    <w:rsid w:val="32194741"/>
    <w:rsid w:val="3439473C"/>
    <w:rsid w:val="353D6568"/>
    <w:rsid w:val="369D0954"/>
    <w:rsid w:val="36C41867"/>
    <w:rsid w:val="37B336EE"/>
    <w:rsid w:val="3A895415"/>
    <w:rsid w:val="3A932AD2"/>
    <w:rsid w:val="3B2D17A6"/>
    <w:rsid w:val="3B6405FB"/>
    <w:rsid w:val="3CBF2E36"/>
    <w:rsid w:val="3D8C258A"/>
    <w:rsid w:val="3FB723B3"/>
    <w:rsid w:val="42CE0B28"/>
    <w:rsid w:val="442B2FE3"/>
    <w:rsid w:val="456F5BF8"/>
    <w:rsid w:val="473D5762"/>
    <w:rsid w:val="4759319A"/>
    <w:rsid w:val="48516FB5"/>
    <w:rsid w:val="490B63E4"/>
    <w:rsid w:val="49154775"/>
    <w:rsid w:val="4A431964"/>
    <w:rsid w:val="4C835716"/>
    <w:rsid w:val="4D0B4B5D"/>
    <w:rsid w:val="4D7D11B1"/>
    <w:rsid w:val="4DF542F3"/>
    <w:rsid w:val="4E98737F"/>
    <w:rsid w:val="501F5F01"/>
    <w:rsid w:val="50CC3A9C"/>
    <w:rsid w:val="512A6795"/>
    <w:rsid w:val="55B50CD7"/>
    <w:rsid w:val="57DA7249"/>
    <w:rsid w:val="588562C6"/>
    <w:rsid w:val="59192B5F"/>
    <w:rsid w:val="59946483"/>
    <w:rsid w:val="5B732A71"/>
    <w:rsid w:val="5BC86423"/>
    <w:rsid w:val="5CD57AD2"/>
    <w:rsid w:val="5D2C3317"/>
    <w:rsid w:val="5D443390"/>
    <w:rsid w:val="5F951355"/>
    <w:rsid w:val="60ED5CFA"/>
    <w:rsid w:val="62444AC8"/>
    <w:rsid w:val="63110999"/>
    <w:rsid w:val="63483071"/>
    <w:rsid w:val="637F5749"/>
    <w:rsid w:val="64592EAE"/>
    <w:rsid w:val="64837576"/>
    <w:rsid w:val="65523C3F"/>
    <w:rsid w:val="666821EA"/>
    <w:rsid w:val="67E51AC4"/>
    <w:rsid w:val="686576A6"/>
    <w:rsid w:val="686A1C53"/>
    <w:rsid w:val="68A04E37"/>
    <w:rsid w:val="69187F79"/>
    <w:rsid w:val="69306651"/>
    <w:rsid w:val="69DB5AB9"/>
    <w:rsid w:val="6B161FBD"/>
    <w:rsid w:val="6BB9504A"/>
    <w:rsid w:val="6D5502EE"/>
    <w:rsid w:val="6F1E78D9"/>
    <w:rsid w:val="6F33787F"/>
    <w:rsid w:val="70CF72A0"/>
    <w:rsid w:val="70DA0EB4"/>
    <w:rsid w:val="719D69F4"/>
    <w:rsid w:val="73704370"/>
    <w:rsid w:val="74335733"/>
    <w:rsid w:val="7523723A"/>
    <w:rsid w:val="753E5BF8"/>
    <w:rsid w:val="76271066"/>
    <w:rsid w:val="763C5788"/>
    <w:rsid w:val="780A1092"/>
    <w:rsid w:val="78667397"/>
    <w:rsid w:val="7892122A"/>
    <w:rsid w:val="79B77FBE"/>
    <w:rsid w:val="7B7233DB"/>
    <w:rsid w:val="7D7D15ED"/>
    <w:rsid w:val="7DA6208D"/>
    <w:rsid w:val="7FB9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Lines/>
      <w:widowControl w:val="0"/>
      <w:spacing w:beforeLines="150" w:afterLines="50" w:line="480" w:lineRule="exact"/>
      <w:ind w:left="-3" w:leftChars="-86" w:hanging="178" w:hangingChars="74"/>
      <w:jc w:val="both"/>
      <w:outlineLvl w:val="1"/>
    </w:pPr>
    <w:rPr>
      <w:rFonts w:ascii="宋体" w:hAnsi="Arial"/>
      <w:b/>
      <w:bCs/>
      <w:sz w:val="24"/>
      <w:szCs w:val="32"/>
    </w:rPr>
  </w:style>
  <w:style w:type="paragraph" w:styleId="4">
    <w:name w:val="heading 3"/>
    <w:basedOn w:val="1"/>
    <w:next w:val="1"/>
    <w:qFormat/>
    <w:uiPriority w:val="0"/>
    <w:pPr>
      <w:widowControl w:val="0"/>
      <w:spacing w:line="360" w:lineRule="auto"/>
      <w:jc w:val="both"/>
      <w:outlineLvl w:val="2"/>
    </w:pPr>
    <w:rPr>
      <w:rFonts w:ascii="宋体"/>
    </w:rPr>
  </w:style>
  <w:style w:type="paragraph" w:styleId="5">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2"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
      <w:b/>
      <w:bCs/>
      <w:sz w:val="24"/>
      <w:szCs w:val="24"/>
    </w:rPr>
  </w:style>
  <w:style w:type="paragraph" w:styleId="8">
    <w:name w:val="heading 7"/>
    <w:basedOn w:val="1"/>
    <w:next w:val="1"/>
    <w:qFormat/>
    <w:uiPriority w:val="0"/>
    <w:pPr>
      <w:keepNext/>
      <w:keepLines/>
      <w:numPr>
        <w:ilvl w:val="6"/>
        <w:numId w:val="1"/>
      </w:numPr>
      <w:spacing w:before="240" w:after="64" w:line="317" w:lineRule="auto"/>
      <w:outlineLvl w:val="6"/>
    </w:pPr>
    <w:rPr>
      <w:b/>
      <w:bCs/>
      <w:sz w:val="24"/>
      <w:szCs w:val="24"/>
    </w:rPr>
  </w:style>
  <w:style w:type="paragraph" w:styleId="9">
    <w:name w:val="heading 8"/>
    <w:basedOn w:val="1"/>
    <w:next w:val="1"/>
    <w:qFormat/>
    <w:uiPriority w:val="0"/>
    <w:pPr>
      <w:keepNext/>
      <w:keepLines/>
      <w:numPr>
        <w:ilvl w:val="7"/>
        <w:numId w:val="1"/>
      </w:numPr>
      <w:spacing w:before="240" w:after="64" w:line="317" w:lineRule="auto"/>
      <w:outlineLvl w:val="7"/>
    </w:pPr>
    <w:rPr>
      <w:rFonts w:ascii="Arial" w:hAnsi="Arial" w:eastAsia="黑体"/>
      <w:sz w:val="24"/>
      <w:szCs w:val="24"/>
    </w:rPr>
  </w:style>
  <w:style w:type="paragraph" w:styleId="10">
    <w:name w:val="heading 9"/>
    <w:basedOn w:val="1"/>
    <w:next w:val="1"/>
    <w:qFormat/>
    <w:uiPriority w:val="0"/>
    <w:pPr>
      <w:keepNext/>
      <w:keepLines/>
      <w:numPr>
        <w:ilvl w:val="8"/>
        <w:numId w:val="1"/>
      </w:numPr>
      <w:spacing w:before="240" w:after="64" w:line="317" w:lineRule="auto"/>
      <w:outlineLvl w:val="8"/>
    </w:pPr>
    <w:rPr>
      <w:rFonts w:ascii="Arial" w:hAnsi="Arial" w:eastAsia="黑体"/>
      <w:szCs w:val="21"/>
    </w:rPr>
  </w:style>
  <w:style w:type="character" w:default="1" w:styleId="36">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4"/>
    <w:uiPriority w:val="0"/>
    <w:pPr>
      <w:spacing w:line="360" w:lineRule="auto"/>
      <w:ind w:firstLine="420"/>
    </w:pPr>
    <w:rPr>
      <w:rFonts w:ascii="宋体"/>
    </w:rPr>
  </w:style>
  <w:style w:type="paragraph" w:styleId="12">
    <w:name w:val="caption"/>
    <w:basedOn w:val="1"/>
    <w:next w:val="1"/>
    <w:qFormat/>
    <w:uiPriority w:val="0"/>
    <w:rPr>
      <w:rFonts w:ascii="Arial" w:hAnsi="Arial" w:eastAsia="黑体" w:cs="Arial"/>
      <w:sz w:val="20"/>
    </w:rPr>
  </w:style>
  <w:style w:type="paragraph" w:styleId="13">
    <w:name w:val="Document Map"/>
    <w:basedOn w:val="1"/>
    <w:uiPriority w:val="0"/>
    <w:pPr>
      <w:shd w:val="clear" w:color="auto" w:fill="000080"/>
    </w:pPr>
  </w:style>
  <w:style w:type="paragraph" w:styleId="14">
    <w:name w:val="annotation text"/>
    <w:basedOn w:val="1"/>
    <w:link w:val="70"/>
    <w:qFormat/>
    <w:uiPriority w:val="0"/>
    <w:rPr>
      <w:kern w:val="2"/>
      <w:szCs w:val="24"/>
    </w:rPr>
  </w:style>
  <w:style w:type="paragraph" w:styleId="15">
    <w:name w:val="Body Text"/>
    <w:basedOn w:val="1"/>
    <w:link w:val="68"/>
    <w:uiPriority w:val="0"/>
    <w:pPr>
      <w:spacing w:line="360" w:lineRule="auto"/>
    </w:pPr>
  </w:style>
  <w:style w:type="paragraph" w:styleId="16">
    <w:name w:val="Body Text Indent"/>
    <w:basedOn w:val="1"/>
    <w:uiPriority w:val="0"/>
    <w:pPr>
      <w:spacing w:after="120"/>
      <w:ind w:left="420" w:leftChars="200"/>
    </w:pPr>
  </w:style>
  <w:style w:type="paragraph" w:styleId="17">
    <w:name w:val="List 2"/>
    <w:basedOn w:val="1"/>
    <w:uiPriority w:val="0"/>
    <w:pPr>
      <w:widowControl w:val="0"/>
      <w:spacing w:before="60" w:after="60" w:line="240" w:lineRule="atLeast"/>
      <w:jc w:val="both"/>
    </w:pPr>
    <w:rPr>
      <w:kern w:val="2"/>
      <w:szCs w:val="24"/>
    </w:rPr>
  </w:style>
  <w:style w:type="paragraph" w:styleId="18">
    <w:name w:val="toc 3"/>
    <w:basedOn w:val="1"/>
    <w:next w:val="1"/>
    <w:uiPriority w:val="0"/>
    <w:pPr>
      <w:ind w:left="840" w:leftChars="400"/>
    </w:pPr>
  </w:style>
  <w:style w:type="paragraph" w:styleId="19">
    <w:name w:val="Plain Text"/>
    <w:basedOn w:val="1"/>
    <w:link w:val="42"/>
    <w:uiPriority w:val="0"/>
    <w:pPr>
      <w:widowControl w:val="0"/>
      <w:jc w:val="both"/>
    </w:pPr>
    <w:rPr>
      <w:rFonts w:ascii="宋体" w:hAnsi="Courier New"/>
      <w:kern w:val="2"/>
    </w:rPr>
  </w:style>
  <w:style w:type="paragraph" w:styleId="20">
    <w:name w:val="Date"/>
    <w:basedOn w:val="1"/>
    <w:next w:val="1"/>
    <w:uiPriority w:val="0"/>
    <w:pPr>
      <w:widowControl w:val="0"/>
      <w:jc w:val="both"/>
    </w:pPr>
    <w:rPr>
      <w:kern w:val="2"/>
    </w:rPr>
  </w:style>
  <w:style w:type="paragraph" w:styleId="21">
    <w:name w:val="Body Text Indent 2"/>
    <w:basedOn w:val="1"/>
    <w:uiPriority w:val="0"/>
    <w:pPr>
      <w:spacing w:after="120" w:line="480" w:lineRule="auto"/>
      <w:ind w:left="420" w:leftChars="200"/>
    </w:pPr>
  </w:style>
  <w:style w:type="paragraph" w:styleId="22">
    <w:name w:val="Balloon Text"/>
    <w:basedOn w:val="1"/>
    <w:uiPriority w:val="0"/>
    <w:rPr>
      <w:sz w:val="18"/>
      <w:szCs w:val="18"/>
    </w:rPr>
  </w:style>
  <w:style w:type="paragraph" w:styleId="23">
    <w:name w:val="footer"/>
    <w:basedOn w:val="1"/>
    <w:link w:val="45"/>
    <w:uiPriority w:val="0"/>
    <w:pPr>
      <w:tabs>
        <w:tab w:val="center" w:pos="4153"/>
        <w:tab w:val="right" w:pos="8306"/>
      </w:tabs>
      <w:snapToGrid w:val="0"/>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uiPriority w:val="0"/>
    <w:pPr>
      <w:tabs>
        <w:tab w:val="left" w:pos="720"/>
      </w:tabs>
      <w:spacing w:line="480" w:lineRule="exact"/>
      <w:jc w:val="center"/>
    </w:pPr>
    <w:rPr>
      <w:rFonts w:ascii="宋体"/>
      <w:b/>
      <w:bCs/>
      <w:sz w:val="28"/>
      <w:szCs w:val="28"/>
    </w:rPr>
  </w:style>
  <w:style w:type="paragraph" w:styleId="26">
    <w:name w:val="index heading"/>
    <w:basedOn w:val="1"/>
    <w:next w:val="27"/>
    <w:uiPriority w:val="0"/>
    <w:pPr>
      <w:widowControl w:val="0"/>
      <w:jc w:val="both"/>
    </w:pPr>
    <w:rPr>
      <w:kern w:val="2"/>
    </w:rPr>
  </w:style>
  <w:style w:type="paragraph" w:styleId="27">
    <w:name w:val="index 1"/>
    <w:basedOn w:val="1"/>
    <w:next w:val="1"/>
    <w:uiPriority w:val="0"/>
  </w:style>
  <w:style w:type="paragraph" w:styleId="28">
    <w:name w:val="Body Text Indent 3"/>
    <w:basedOn w:val="1"/>
    <w:uiPriority w:val="0"/>
    <w:pPr>
      <w:spacing w:line="360" w:lineRule="auto"/>
      <w:ind w:firstLine="783" w:firstLineChars="373"/>
    </w:pPr>
    <w:rPr>
      <w:rFonts w:hAnsi="宋体"/>
    </w:rPr>
  </w:style>
  <w:style w:type="paragraph" w:styleId="29">
    <w:name w:val="toc 2"/>
    <w:basedOn w:val="1"/>
    <w:next w:val="1"/>
    <w:uiPriority w:val="0"/>
    <w:pPr>
      <w:spacing w:line="560" w:lineRule="exact"/>
    </w:pPr>
    <w:rPr>
      <w:sz w:val="28"/>
      <w:szCs w:val="28"/>
    </w:rPr>
  </w:style>
  <w:style w:type="paragraph" w:styleId="3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31">
    <w:name w:val="Normal (Web)"/>
    <w:basedOn w:val="1"/>
    <w:uiPriority w:val="0"/>
    <w:pPr>
      <w:spacing w:before="100" w:beforeAutospacing="1" w:after="100" w:afterAutospacing="1"/>
    </w:pPr>
    <w:rPr>
      <w:rFonts w:ascii="宋体" w:hAnsi="宋体"/>
      <w:sz w:val="24"/>
      <w:szCs w:val="24"/>
    </w:rPr>
  </w:style>
  <w:style w:type="paragraph" w:styleId="32">
    <w:name w:val="annotation subject"/>
    <w:basedOn w:val="14"/>
    <w:next w:val="14"/>
    <w:uiPriority w:val="0"/>
    <w:rPr>
      <w:b/>
      <w:bCs/>
    </w:rPr>
  </w:style>
  <w:style w:type="paragraph" w:styleId="33">
    <w:name w:val="Body Text First Indent"/>
    <w:basedOn w:val="15"/>
    <w:link w:val="69"/>
    <w:uiPriority w:val="0"/>
    <w:pPr>
      <w:spacing w:after="120" w:line="240" w:lineRule="auto"/>
      <w:ind w:firstLine="420" w:firstLineChars="100"/>
    </w:pPr>
  </w:style>
  <w:style w:type="paragraph" w:styleId="34">
    <w:name w:val="Body Text First Indent 2"/>
    <w:basedOn w:val="16"/>
    <w:uiPriority w:val="0"/>
    <w:pPr>
      <w:ind w:firstLine="420" w:firstLineChars="200"/>
    </w:pPr>
    <w:rPr>
      <w:b/>
    </w:rPr>
  </w:style>
  <w:style w:type="character" w:styleId="37">
    <w:name w:val="Strong"/>
    <w:qFormat/>
    <w:uiPriority w:val="0"/>
    <w:rPr>
      <w:rFonts w:ascii="Verdana" w:hAnsi="Verdana"/>
      <w:b/>
      <w:bCs/>
      <w:lang w:eastAsia="en-US"/>
    </w:rPr>
  </w:style>
  <w:style w:type="character" w:styleId="38">
    <w:name w:val="page number"/>
    <w:basedOn w:val="36"/>
    <w:uiPriority w:val="0"/>
    <w:rPr>
      <w:rFonts w:ascii="Verdana" w:hAnsi="Verdana"/>
      <w:lang w:eastAsia="en-US"/>
    </w:rPr>
  </w:style>
  <w:style w:type="character" w:styleId="39">
    <w:name w:val="Emphasis"/>
    <w:qFormat/>
    <w:uiPriority w:val="0"/>
  </w:style>
  <w:style w:type="character" w:styleId="40">
    <w:name w:val="Hyperlink"/>
    <w:uiPriority w:val="0"/>
    <w:rPr>
      <w:color w:val="0000FF"/>
      <w:u w:val="single"/>
    </w:rPr>
  </w:style>
  <w:style w:type="character" w:styleId="41">
    <w:name w:val="annotation reference"/>
    <w:qFormat/>
    <w:uiPriority w:val="0"/>
    <w:rPr>
      <w:sz w:val="21"/>
      <w:szCs w:val="21"/>
    </w:rPr>
  </w:style>
  <w:style w:type="character" w:customStyle="1" w:styleId="42">
    <w:name w:val="纯文本 Char"/>
    <w:link w:val="19"/>
    <w:uiPriority w:val="0"/>
    <w:rPr>
      <w:rFonts w:ascii="宋体" w:hAnsi="Courier New" w:eastAsia="宋体"/>
      <w:kern w:val="2"/>
      <w:sz w:val="21"/>
      <w:lang w:val="en-US" w:eastAsia="zh-CN" w:bidi="ar-SA"/>
    </w:rPr>
  </w:style>
  <w:style w:type="character" w:customStyle="1" w:styleId="43">
    <w:name w:val="ww-light ww-large"/>
    <w:basedOn w:val="36"/>
    <w:uiPriority w:val="0"/>
    <w:rPr>
      <w:rFonts w:ascii="Verdana" w:hAnsi="Verdana"/>
      <w:lang w:eastAsia="en-US"/>
    </w:rPr>
  </w:style>
  <w:style w:type="character" w:customStyle="1" w:styleId="44">
    <w:name w:val="正文缩进 Char"/>
    <w:link w:val="11"/>
    <w:uiPriority w:val="0"/>
    <w:rPr>
      <w:rFonts w:ascii="宋体" w:eastAsia="宋体"/>
      <w:sz w:val="21"/>
      <w:lang w:val="en-US" w:eastAsia="zh-CN" w:bidi="ar-SA"/>
    </w:rPr>
  </w:style>
  <w:style w:type="character" w:customStyle="1" w:styleId="45">
    <w:name w:val="页脚 Char"/>
    <w:link w:val="23"/>
    <w:uiPriority w:val="0"/>
    <w:rPr>
      <w:rFonts w:eastAsia="宋体"/>
      <w:sz w:val="18"/>
      <w:szCs w:val="18"/>
      <w:lang w:val="en-US" w:eastAsia="zh-CN" w:bidi="ar-SA"/>
    </w:rPr>
  </w:style>
  <w:style w:type="character" w:customStyle="1" w:styleId="46">
    <w:name w:val="font31"/>
    <w:uiPriority w:val="0"/>
    <w:rPr>
      <w:rFonts w:hint="eastAsia" w:ascii="宋体" w:hAnsi="宋体" w:eastAsia="宋体" w:cs="宋体"/>
      <w:color w:val="000000"/>
      <w:sz w:val="21"/>
      <w:szCs w:val="21"/>
      <w:u w:val="none"/>
      <w:lang w:eastAsia="en-US"/>
    </w:rPr>
  </w:style>
  <w:style w:type="character" w:customStyle="1" w:styleId="47">
    <w:name w:val="apple-style-span"/>
    <w:basedOn w:val="36"/>
    <w:uiPriority w:val="0"/>
    <w:rPr>
      <w:rFonts w:ascii="Verdana" w:hAnsi="Verdana"/>
      <w:lang w:eastAsia="en-US"/>
    </w:rPr>
  </w:style>
  <w:style w:type="paragraph" w:customStyle="1" w:styleId="48">
    <w:name w:val="图"/>
    <w:basedOn w:val="1"/>
    <w:uiPriority w:val="0"/>
    <w:pPr>
      <w:keepNext/>
      <w:widowControl w:val="0"/>
      <w:adjustRightInd w:val="0"/>
      <w:spacing w:before="60" w:after="60" w:line="300" w:lineRule="auto"/>
      <w:jc w:val="center"/>
      <w:textAlignment w:val="center"/>
    </w:pPr>
    <w:rPr>
      <w:snapToGrid w:val="0"/>
      <w:spacing w:val="20"/>
      <w:sz w:val="24"/>
    </w:rPr>
  </w:style>
  <w:style w:type="paragraph" w:customStyle="1" w:styleId="49">
    <w:name w:val="_Style 47"/>
    <w:basedOn w:val="1"/>
    <w:uiPriority w:val="0"/>
    <w:pPr>
      <w:spacing w:after="160" w:line="240" w:lineRule="exact"/>
    </w:pPr>
    <w:rPr>
      <w:rFonts w:ascii="Verdana" w:hAnsi="Verdana"/>
      <w:lang w:eastAsia="en-US"/>
    </w:rPr>
  </w:style>
  <w:style w:type="paragraph" w:customStyle="1" w:styleId="50">
    <w:name w:val="Char1"/>
    <w:basedOn w:val="1"/>
    <w:uiPriority w:val="0"/>
    <w:pPr>
      <w:widowControl w:val="0"/>
      <w:jc w:val="both"/>
    </w:pPr>
    <w:rPr>
      <w:rFonts w:ascii="Tahoma" w:hAnsi="Tahoma"/>
      <w:kern w:val="2"/>
      <w:sz w:val="24"/>
      <w:szCs w:val="24"/>
    </w:rPr>
  </w:style>
  <w:style w:type="paragraph" w:customStyle="1" w:styleId="51">
    <w:name w:val="Char"/>
    <w:basedOn w:val="1"/>
    <w:uiPriority w:val="0"/>
    <w:pPr>
      <w:spacing w:after="160" w:line="240" w:lineRule="exact"/>
    </w:pPr>
    <w:rPr>
      <w:rFonts w:ascii="Verdana" w:hAnsi="Verdana"/>
      <w:lang w:eastAsia="en-US"/>
    </w:rPr>
  </w:style>
  <w:style w:type="paragraph" w:customStyle="1" w:styleId="52">
    <w:name w:val="Char Char Char Char Char Char Char Char Char Char Char Char Char Char Char Char Char"/>
    <w:basedOn w:val="1"/>
    <w:uiPriority w:val="0"/>
    <w:pPr>
      <w:spacing w:after="160" w:line="240" w:lineRule="exact"/>
    </w:pPr>
    <w:rPr>
      <w:rFonts w:ascii="Verdana" w:hAnsi="Verdana" w:eastAsia="仿宋_GB2312"/>
      <w:sz w:val="24"/>
      <w:lang w:eastAsia="en-US"/>
    </w:rPr>
  </w:style>
  <w:style w:type="paragraph" w:customStyle="1" w:styleId="53">
    <w:name w:val="表格文字"/>
    <w:basedOn w:val="1"/>
    <w:uiPriority w:val="0"/>
    <w:pPr>
      <w:widowControl w:val="0"/>
      <w:spacing w:before="25" w:after="25"/>
    </w:pPr>
    <w:rPr>
      <w:bCs/>
      <w:spacing w:val="10"/>
      <w:sz w:val="24"/>
    </w:rPr>
  </w:style>
  <w:style w:type="paragraph" w:customStyle="1" w:styleId="54">
    <w:name w:val="题注4"/>
    <w:basedOn w:val="1"/>
    <w:next w:val="12"/>
    <w:uiPriority w:val="0"/>
    <w:pPr>
      <w:widowControl w:val="0"/>
      <w:ind w:left="-132" w:leftChars="-64" w:right="-105" w:rightChars="-50" w:hanging="2"/>
      <w:jc w:val="center"/>
    </w:pPr>
    <w:rPr>
      <w:b/>
      <w:color w:val="FF0000"/>
      <w:kern w:val="2"/>
      <w:szCs w:val="21"/>
      <w:lang w:val="en-GB"/>
    </w:rPr>
  </w:style>
  <w:style w:type="paragraph" w:customStyle="1" w:styleId="55">
    <w:name w:val="attention naked"/>
    <w:basedOn w:val="1"/>
    <w:uiPriority w:val="0"/>
    <w:pPr>
      <w:spacing w:before="100" w:beforeAutospacing="1" w:after="100" w:afterAutospacing="1"/>
    </w:pPr>
    <w:rPr>
      <w:rFonts w:ascii="宋体" w:hAnsi="宋体" w:cs="宋体"/>
      <w:sz w:val="24"/>
      <w:szCs w:val="24"/>
    </w:rPr>
  </w:style>
  <w:style w:type="paragraph" w:customStyle="1" w:styleId="56">
    <w:name w:val="p0"/>
    <w:basedOn w:val="1"/>
    <w:uiPriority w:val="0"/>
    <w:rPr>
      <w:szCs w:val="21"/>
    </w:rPr>
  </w:style>
  <w:style w:type="paragraph" w:customStyle="1" w:styleId="57">
    <w:name w:val="tb-public-price1"/>
    <w:basedOn w:val="1"/>
    <w:uiPriority w:val="0"/>
    <w:pPr>
      <w:pBdr>
        <w:top w:val="single" w:color="D7D7D7" w:sz="6" w:space="6"/>
        <w:left w:val="single" w:color="D7D7D7" w:sz="6" w:space="8"/>
        <w:bottom w:val="single" w:color="D7D7D7" w:sz="6" w:space="6"/>
        <w:right w:val="single" w:color="D7D7D7" w:sz="6" w:space="8"/>
      </w:pBdr>
      <w:shd w:val="clear" w:color="auto" w:fill="F9F9F9"/>
      <w:spacing w:before="100" w:beforeAutospacing="1" w:after="100" w:afterAutospacing="1"/>
    </w:pPr>
    <w:rPr>
      <w:rFonts w:ascii="宋体" w:hAnsi="宋体" w:cs="宋体"/>
      <w:sz w:val="24"/>
      <w:szCs w:val="24"/>
    </w:rPr>
  </w:style>
  <w:style w:type="paragraph" w:customStyle="1" w:styleId="58">
    <w:name w:val="默认段落字体 Para Char Char Char Char1 Char Char Char"/>
    <w:basedOn w:val="1"/>
    <w:uiPriority w:val="0"/>
    <w:pPr>
      <w:widowControl w:val="0"/>
      <w:jc w:val="both"/>
    </w:pPr>
    <w:rPr>
      <w:kern w:val="2"/>
      <w:szCs w:val="24"/>
    </w:rPr>
  </w:style>
  <w:style w:type="paragraph" w:customStyle="1" w:styleId="59">
    <w:name w:val="题注5"/>
    <w:basedOn w:val="1"/>
    <w:next w:val="12"/>
    <w:uiPriority w:val="0"/>
    <w:pPr>
      <w:widowControl w:val="0"/>
      <w:jc w:val="center"/>
    </w:pPr>
    <w:rPr>
      <w:b/>
      <w:color w:val="000000"/>
      <w:kern w:val="2"/>
      <w:sz w:val="24"/>
      <w:szCs w:val="21"/>
    </w:rPr>
  </w:style>
  <w:style w:type="paragraph" w:styleId="60">
    <w:name w:val="List Paragraph"/>
    <w:basedOn w:val="1"/>
    <w:qFormat/>
    <w:uiPriority w:val="0"/>
    <w:pPr>
      <w:ind w:firstLine="420" w:firstLineChars="200"/>
    </w:pPr>
    <w:rPr>
      <w:rFonts w:ascii="Calibri" w:hAnsi="Calibri"/>
      <w:szCs w:val="22"/>
    </w:rPr>
  </w:style>
  <w:style w:type="paragraph" w:customStyle="1" w:styleId="61">
    <w:name w:val="Char Char Char Char"/>
    <w:basedOn w:val="1"/>
    <w:uiPriority w:val="0"/>
  </w:style>
  <w:style w:type="paragraph" w:customStyle="1" w:styleId="62">
    <w:name w:val="投标文件3"/>
    <w:basedOn w:val="1"/>
    <w:uiPriority w:val="0"/>
    <w:pPr>
      <w:spacing w:line="360" w:lineRule="auto"/>
      <w:jc w:val="both"/>
    </w:pPr>
    <w:rPr>
      <w:rFonts w:ascii="宋体" w:hAnsi="Courier New" w:eastAsia="黑体"/>
      <w:b/>
      <w:kern w:val="2"/>
      <w:sz w:val="30"/>
    </w:rPr>
  </w:style>
  <w:style w:type="paragraph" w:customStyle="1" w:styleId="63">
    <w:name w:val="Char Char Char"/>
    <w:basedOn w:val="1"/>
    <w:uiPriority w:val="0"/>
    <w:pPr>
      <w:spacing w:after="160" w:line="240" w:lineRule="exact"/>
    </w:pPr>
    <w:rPr>
      <w:rFonts w:ascii="Verdana" w:hAnsi="Verdana"/>
      <w:sz w:val="20"/>
      <w:lang w:eastAsia="en-US"/>
    </w:rPr>
  </w:style>
  <w:style w:type="paragraph" w:customStyle="1" w:styleId="64">
    <w:name w:val="Char Char2 Char"/>
    <w:basedOn w:val="1"/>
    <w:uiPriority w:val="0"/>
    <w:pPr>
      <w:widowControl w:val="0"/>
      <w:jc w:val="both"/>
    </w:pPr>
    <w:rPr>
      <w:rFonts w:ascii="宋体" w:hAnsi="宋体"/>
      <w:b/>
      <w:kern w:val="2"/>
      <w:sz w:val="28"/>
      <w:szCs w:val="28"/>
    </w:rPr>
  </w:style>
  <w:style w:type="paragraph" w:customStyle="1" w:styleId="65">
    <w:name w:val="xl25"/>
    <w:basedOn w:val="1"/>
    <w:uiPriority w:val="0"/>
    <w:pPr>
      <w:pBdr>
        <w:bottom w:val="single" w:color="auto" w:sz="4" w:space="0"/>
        <w:right w:val="single" w:color="auto" w:sz="4" w:space="0"/>
      </w:pBdr>
      <w:spacing w:before="100" w:beforeAutospacing="1" w:after="100" w:afterAutospacing="1"/>
      <w:jc w:val="center"/>
    </w:pPr>
    <w:rPr>
      <w:rFonts w:ascii="宋体" w:hAnsi="宋体"/>
      <w:szCs w:val="21"/>
    </w:rPr>
  </w:style>
  <w:style w:type="paragraph" w:customStyle="1" w:styleId="66">
    <w:name w:val="Char Char Char Char Char Char1 Char"/>
    <w:basedOn w:val="1"/>
    <w:uiPriority w:val="0"/>
    <w:pPr>
      <w:spacing w:after="160" w:line="240" w:lineRule="exact"/>
    </w:pPr>
    <w:rPr>
      <w:rFonts w:ascii="Verdana" w:hAnsi="Verdana"/>
      <w:lang w:eastAsia="en-US"/>
    </w:rPr>
  </w:style>
  <w:style w:type="character" w:styleId="67">
    <w:name w:val="Placeholder Text"/>
    <w:basedOn w:val="36"/>
    <w:semiHidden/>
    <w:uiPriority w:val="99"/>
    <w:rPr>
      <w:rFonts w:ascii="Verdana" w:hAnsi="Verdana"/>
      <w:color w:val="808080"/>
      <w:lang w:eastAsia="en-US"/>
    </w:rPr>
  </w:style>
  <w:style w:type="character" w:customStyle="1" w:styleId="68">
    <w:name w:val="正文文本 Char"/>
    <w:basedOn w:val="36"/>
    <w:link w:val="15"/>
    <w:uiPriority w:val="0"/>
    <w:rPr>
      <w:sz w:val="21"/>
    </w:rPr>
  </w:style>
  <w:style w:type="character" w:customStyle="1" w:styleId="69">
    <w:name w:val="正文首行缩进 Char"/>
    <w:basedOn w:val="68"/>
    <w:link w:val="33"/>
    <w:uiPriority w:val="0"/>
  </w:style>
  <w:style w:type="character" w:customStyle="1" w:styleId="70">
    <w:name w:val="批注文字 Char"/>
    <w:basedOn w:val="36"/>
    <w:link w:val="14"/>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8FF4D-E9D4-4C45-9909-5ED12B78B9C2}">
  <ds:schemaRefs/>
</ds:datastoreItem>
</file>

<file path=docProps/app.xml><?xml version="1.0" encoding="utf-8"?>
<Properties xmlns="http://schemas.openxmlformats.org/officeDocument/2006/extended-properties" xmlns:vt="http://schemas.openxmlformats.org/officeDocument/2006/docPropsVTypes">
  <Template>Normal</Template>
  <Company>SDWM</Company>
  <Pages>9</Pages>
  <Words>1506</Words>
  <Characters>8590</Characters>
  <Lines>71</Lines>
  <Paragraphs>20</Paragraphs>
  <TotalTime>518</TotalTime>
  <ScaleCrop>false</ScaleCrop>
  <LinksUpToDate>false</LinksUpToDate>
  <CharactersWithSpaces>10076</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2018-10-22T03:25:00Z</dcterms:created>
  <dc:creator>yu</dc:creator>
  <cp:lastModifiedBy>Administrator</cp:lastModifiedBy>
  <cp:lastPrinted>2013-08-21T01:46:00Z</cp:lastPrinted>
  <dcterms:modified xsi:type="dcterms:W3CDTF">2019-09-19T04:01:32Z</dcterms:modified>
  <dc:title>第一部分</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