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62"/>
          <w:tab w:val="right" w:pos="9325"/>
        </w:tabs>
        <w:ind w:right="-84"/>
        <w:jc w:val="center"/>
        <w:rPr>
          <w:rFonts w:ascii="仿宋" w:hAnsi="仿宋" w:eastAsia="仿宋"/>
          <w:b/>
          <w:sz w:val="44"/>
          <w:szCs w:val="44"/>
        </w:rPr>
      </w:pPr>
      <w:r>
        <w:rPr>
          <w:rFonts w:hint="eastAsia" w:ascii="仿宋" w:hAnsi="仿宋" w:eastAsia="仿宋"/>
          <w:b/>
          <w:sz w:val="44"/>
          <w:szCs w:val="44"/>
        </w:rPr>
        <w:t>用 户 需 求 书</w:t>
      </w:r>
    </w:p>
    <w:p>
      <w:pPr>
        <w:autoSpaceDE w:val="0"/>
        <w:autoSpaceDN w:val="0"/>
        <w:ind w:firstLine="562" w:firstLineChars="200"/>
        <w:rPr>
          <w:rFonts w:ascii="仿宋_GB2312" w:hAnsi="仿宋" w:eastAsia="仿宋_GB2312" w:cs="Times New Roman"/>
          <w:kern w:val="0"/>
          <w:sz w:val="28"/>
          <w:szCs w:val="28"/>
        </w:rPr>
      </w:pPr>
      <w:r>
        <w:rPr>
          <w:rFonts w:hint="eastAsia" w:ascii="仿宋" w:hAnsi="仿宋" w:eastAsia="仿宋" w:cs="宋体"/>
          <w:b/>
          <w:sz w:val="28"/>
          <w:szCs w:val="28"/>
        </w:rPr>
        <w:t>一、项目名称</w:t>
      </w:r>
      <w:r>
        <w:rPr>
          <w:rFonts w:hint="eastAsia" w:ascii="仿宋" w:hAnsi="仿宋" w:eastAsia="仿宋"/>
          <w:bCs/>
          <w:kern w:val="0"/>
          <w:sz w:val="28"/>
          <w:szCs w:val="28"/>
        </w:rPr>
        <w:t>：</w:t>
      </w:r>
      <w:r>
        <w:rPr>
          <w:rFonts w:hint="eastAsia" w:ascii="仿宋_GB2312" w:hAnsi="仿宋" w:eastAsia="仿宋_GB2312" w:cs="Times New Roman"/>
          <w:kern w:val="0"/>
          <w:sz w:val="28"/>
          <w:szCs w:val="28"/>
        </w:rPr>
        <w:t>广东松山职业技术学院校园白蚁防治服务</w:t>
      </w:r>
    </w:p>
    <w:p>
      <w:pPr>
        <w:autoSpaceDE w:val="0"/>
        <w:autoSpaceDN w:val="0"/>
        <w:ind w:firstLine="562" w:firstLineChars="200"/>
        <w:rPr>
          <w:rFonts w:ascii="宋体" w:hAnsi="宋体"/>
          <w:bCs/>
          <w:kern w:val="0"/>
          <w:sz w:val="28"/>
          <w:szCs w:val="28"/>
        </w:rPr>
      </w:pPr>
      <w:r>
        <w:rPr>
          <w:rFonts w:hint="eastAsia" w:ascii="仿宋" w:hAnsi="仿宋" w:eastAsia="仿宋" w:cs="宋体"/>
          <w:b/>
          <w:sz w:val="28"/>
          <w:szCs w:val="28"/>
        </w:rPr>
        <w:t>二、采购方式：</w:t>
      </w:r>
      <w:r>
        <w:rPr>
          <w:rFonts w:hint="eastAsia" w:ascii="仿宋_GB2312" w:hAnsi="仿宋" w:eastAsia="仿宋_GB2312" w:cs="Times New Roman"/>
          <w:kern w:val="0"/>
          <w:sz w:val="28"/>
          <w:szCs w:val="28"/>
        </w:rPr>
        <w:t>公开询价，采用经评审的最低评标价法</w:t>
      </w:r>
      <w:r>
        <w:rPr>
          <w:rFonts w:hint="eastAsia" w:ascii="宋体" w:hAnsi="宋体"/>
          <w:bCs/>
          <w:kern w:val="0"/>
          <w:sz w:val="28"/>
          <w:szCs w:val="28"/>
        </w:rPr>
        <w:t>。</w:t>
      </w:r>
    </w:p>
    <w:p>
      <w:pPr>
        <w:pStyle w:val="4"/>
        <w:widowControl/>
        <w:spacing w:beforeAutospacing="0" w:afterAutospacing="0"/>
        <w:ind w:firstLine="562" w:firstLineChars="200"/>
        <w:rPr>
          <w:rFonts w:ascii="宋体" w:hAnsi="宋体"/>
          <w:b/>
          <w:sz w:val="28"/>
          <w:szCs w:val="28"/>
        </w:rPr>
      </w:pPr>
      <w:r>
        <w:rPr>
          <w:rFonts w:hint="eastAsia" w:ascii="仿宋" w:hAnsi="仿宋" w:eastAsia="仿宋" w:cs="宋体"/>
          <w:b/>
          <w:kern w:val="2"/>
          <w:sz w:val="28"/>
          <w:szCs w:val="28"/>
        </w:rPr>
        <w:t>三、项目预算金额：</w:t>
      </w:r>
      <w:r>
        <w:rPr>
          <w:rFonts w:hint="eastAsia" w:ascii="仿宋_GB2312" w:hAnsi="仿宋" w:eastAsia="仿宋_GB2312"/>
          <w:sz w:val="28"/>
          <w:szCs w:val="28"/>
        </w:rPr>
        <w:t>人民币9万元/3年（以实际工作量结算，每年不得超过3万元）。</w:t>
      </w:r>
    </w:p>
    <w:p>
      <w:pPr>
        <w:spacing w:line="360" w:lineRule="auto"/>
        <w:ind w:firstLine="562" w:firstLineChars="200"/>
        <w:rPr>
          <w:rFonts w:ascii="仿宋_GB2312" w:hAnsi="仿宋" w:eastAsia="仿宋_GB2312" w:cs="Times New Roman"/>
          <w:kern w:val="0"/>
          <w:sz w:val="28"/>
          <w:szCs w:val="28"/>
        </w:rPr>
      </w:pPr>
      <w:r>
        <w:rPr>
          <w:rFonts w:hint="eastAsia" w:ascii="仿宋" w:hAnsi="仿宋" w:eastAsia="仿宋" w:cs="宋体"/>
          <w:b/>
          <w:sz w:val="28"/>
          <w:szCs w:val="28"/>
        </w:rPr>
        <w:t>四、服务期限：</w:t>
      </w:r>
      <w:r>
        <w:rPr>
          <w:rFonts w:hint="eastAsia" w:ascii="仿宋_GB2312" w:hAnsi="仿宋" w:eastAsia="仿宋_GB2312" w:cs="Times New Roman"/>
          <w:sz w:val="28"/>
          <w:szCs w:val="28"/>
        </w:rPr>
        <w:t xml:space="preserve"> </w:t>
      </w:r>
      <w:r>
        <w:rPr>
          <w:rFonts w:hint="eastAsia" w:ascii="仿宋_GB2312" w:hAnsi="仿宋" w:eastAsia="仿宋_GB2312" w:cs="Times New Roman"/>
          <w:kern w:val="0"/>
          <w:sz w:val="28"/>
          <w:szCs w:val="28"/>
        </w:rPr>
        <w:t>叁年（签订协议日起）。</w:t>
      </w:r>
    </w:p>
    <w:p>
      <w:pPr>
        <w:pStyle w:val="4"/>
        <w:widowControl/>
        <w:spacing w:beforeAutospacing="0" w:afterAutospacing="0"/>
        <w:ind w:firstLine="562" w:firstLineChars="200"/>
        <w:rPr>
          <w:rFonts w:hint="eastAsia" w:ascii="仿宋_GB2312" w:hAnsi="仿宋" w:eastAsia="仿宋_GB2312"/>
          <w:sz w:val="28"/>
          <w:szCs w:val="28"/>
        </w:rPr>
      </w:pPr>
      <w:r>
        <w:rPr>
          <w:rFonts w:hint="eastAsia" w:ascii="仿宋" w:hAnsi="仿宋" w:eastAsia="仿宋" w:cs="宋体"/>
          <w:b/>
          <w:kern w:val="2"/>
          <w:sz w:val="28"/>
          <w:szCs w:val="28"/>
        </w:rPr>
        <w:t>五、报价人资格：</w:t>
      </w:r>
      <w:r>
        <w:rPr>
          <w:rFonts w:hint="eastAsia" w:ascii="仿宋_GB2312" w:hAnsi="仿宋" w:eastAsia="仿宋_GB2312"/>
          <w:sz w:val="28"/>
          <w:szCs w:val="28"/>
        </w:rPr>
        <w:t>报价人必须是在中华人民共和国境内注册并合法运作的独立法人机构，依法取得营业执照和税务登记证；以上报价资料须单独提供复印件供本单位查询核实，经查询不实的，取消其报价资格。</w:t>
      </w:r>
    </w:p>
    <w:p>
      <w:pPr>
        <w:pStyle w:val="4"/>
        <w:widowControl/>
        <w:spacing w:beforeAutospacing="0" w:afterAutospacing="0"/>
        <w:ind w:firstLine="562" w:firstLineChars="200"/>
        <w:rPr>
          <w:rFonts w:hint="eastAsia" w:ascii="仿宋_GB2312" w:hAnsi="仿宋" w:eastAsia="仿宋_GB2312"/>
          <w:b/>
          <w:bCs/>
          <w:sz w:val="28"/>
          <w:szCs w:val="28"/>
          <w:lang w:eastAsia="zh-CN"/>
        </w:rPr>
      </w:pPr>
      <w:r>
        <w:rPr>
          <w:rFonts w:hint="eastAsia" w:ascii="仿宋_GB2312" w:hAnsi="仿宋" w:eastAsia="仿宋_GB2312"/>
          <w:b/>
          <w:bCs/>
          <w:sz w:val="28"/>
          <w:szCs w:val="28"/>
          <w:lang w:eastAsia="zh-CN"/>
        </w:rPr>
        <w:t>六、服务要求：</w:t>
      </w:r>
    </w:p>
    <w:p>
      <w:pPr>
        <w:pStyle w:val="14"/>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自备工具，派出专业技术人员对甲方校内进行全面检查，挖掘蚁巢、投放药物；所用药物均符合国家相关环保标准。</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、派专业人员找出白蚁纷飞孔，路道跟踪追挖出窝巢，捉出蚁王。并在巢内施药，杀死全部白蚁，达到除根治本的目的。</w:t>
      </w:r>
    </w:p>
    <w:p>
      <w:pPr>
        <w:pStyle w:val="14"/>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乙方需对已挖掘的蚁穴做安全处理后并对破坏的场地予以恢复，若对构建物、道路、花坛实施开挖须事前经甲方同意。</w:t>
      </w:r>
    </w:p>
    <w:p>
      <w:pPr>
        <w:pStyle w:val="14"/>
        <w:ind w:firstLine="60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、乙方派专业人员对校园内绿化及建筑物外围及首层大厅、走廊，施以专治白蚁防治药物，杜绝食源，使白蚁带药归巢，互相传染中毒死亡。</w:t>
      </w:r>
    </w:p>
    <w:p>
      <w:pPr>
        <w:pStyle w:val="14"/>
        <w:ind w:firstLine="600" w:firstLineChars="200"/>
        <w:rPr>
          <w:rFonts w:hint="eastAsia" w:ascii="仿宋_GB2312" w:hAnsi="仿宋" w:eastAsia="仿宋_GB2312"/>
          <w:sz w:val="28"/>
          <w:szCs w:val="28"/>
          <w:lang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每年治理施工完成后，乙方应每季度对全院绿化及建筑物外围及首层大厅、走廊进行一次喷药；若出现蚁患，由乙方三日内派人到场处理，一切费用由乙方承担。</w:t>
      </w:r>
    </w:p>
    <w:p>
      <w:pPr>
        <w:widowControl/>
        <w:spacing w:line="420" w:lineRule="atLeast"/>
        <w:ind w:firstLine="562" w:firstLineChars="200"/>
        <w:rPr>
          <w:rFonts w:ascii="仿宋_GB2312" w:hAnsi="仿宋" w:eastAsia="仿宋_GB2312" w:cs="Times New Roman"/>
          <w:sz w:val="28"/>
          <w:szCs w:val="28"/>
        </w:rPr>
      </w:pPr>
      <w:r>
        <w:rPr>
          <w:rFonts w:hint="eastAsia" w:ascii="仿宋" w:hAnsi="仿宋" w:eastAsia="仿宋" w:cs="宋体"/>
          <w:b/>
          <w:sz w:val="28"/>
          <w:szCs w:val="28"/>
          <w:lang w:eastAsia="zh-CN"/>
        </w:rPr>
        <w:t>七</w:t>
      </w:r>
      <w:r>
        <w:rPr>
          <w:rFonts w:hint="eastAsia" w:ascii="仿宋" w:hAnsi="仿宋" w:eastAsia="仿宋" w:cs="宋体"/>
          <w:b/>
          <w:sz w:val="28"/>
          <w:szCs w:val="28"/>
        </w:rPr>
        <w:t>、报价方式：</w:t>
      </w:r>
      <w:r>
        <w:rPr>
          <w:rFonts w:hint="eastAsia" w:ascii="仿宋_GB2312" w:hAnsi="仿宋" w:eastAsia="仿宋_GB2312" w:cs="Times New Roman"/>
          <w:kern w:val="0"/>
          <w:sz w:val="28"/>
          <w:szCs w:val="28"/>
        </w:rPr>
        <w:t>对项目单价进行报价。</w:t>
      </w:r>
    </w:p>
    <w:p>
      <w:pPr>
        <w:autoSpaceDE w:val="0"/>
        <w:autoSpaceDN w:val="0"/>
        <w:ind w:firstLine="562" w:firstLineChars="200"/>
        <w:rPr>
          <w:rFonts w:ascii="宋体" w:hAnsi="宋体" w:eastAsia="宋体" w:cs="宋体"/>
          <w:sz w:val="28"/>
          <w:szCs w:val="28"/>
        </w:rPr>
      </w:pPr>
      <w:r>
        <w:rPr>
          <w:rFonts w:hint="eastAsia" w:ascii="仿宋" w:hAnsi="仿宋" w:eastAsia="仿宋" w:cs="宋体"/>
          <w:b/>
          <w:sz w:val="28"/>
          <w:szCs w:val="28"/>
          <w:lang w:eastAsia="zh-CN"/>
        </w:rPr>
        <w:t>八</w:t>
      </w:r>
      <w:r>
        <w:rPr>
          <w:rFonts w:hint="eastAsia" w:ascii="仿宋" w:hAnsi="仿宋" w:eastAsia="仿宋" w:cs="宋体"/>
          <w:b/>
          <w:sz w:val="28"/>
          <w:szCs w:val="28"/>
        </w:rPr>
        <w:t>、履约（质保）金：</w:t>
      </w:r>
      <w:r>
        <w:rPr>
          <w:rFonts w:hint="eastAsia" w:ascii="仿宋_GB2312" w:hAnsi="仿宋" w:eastAsia="仿宋_GB2312" w:cs="Times New Roman"/>
          <w:kern w:val="0"/>
          <w:sz w:val="28"/>
          <w:szCs w:val="28"/>
        </w:rPr>
        <w:t>签订协议前缴纳人民币伍千元整（￥5000.00）履约保证金，协议期满后无违约予以无息退还。</w:t>
      </w:r>
    </w:p>
    <w:p>
      <w:pPr>
        <w:autoSpaceDE w:val="0"/>
        <w:autoSpaceDN w:val="0"/>
        <w:ind w:firstLine="562" w:firstLineChars="200"/>
        <w:rPr>
          <w:rFonts w:ascii="仿宋" w:hAnsi="仿宋" w:eastAsia="仿宋" w:cs="宋体"/>
          <w:b/>
          <w:sz w:val="28"/>
          <w:szCs w:val="28"/>
        </w:rPr>
      </w:pPr>
      <w:r>
        <w:rPr>
          <w:rFonts w:hint="eastAsia" w:ascii="仿宋" w:hAnsi="仿宋" w:eastAsia="仿宋" w:cs="宋体"/>
          <w:b/>
          <w:sz w:val="28"/>
          <w:szCs w:val="28"/>
          <w:lang w:eastAsia="zh-CN"/>
        </w:rPr>
        <w:t>九</w:t>
      </w:r>
      <w:r>
        <w:rPr>
          <w:rFonts w:hint="eastAsia" w:ascii="仿宋" w:hAnsi="仿宋" w:eastAsia="仿宋" w:cs="宋体"/>
          <w:b/>
          <w:sz w:val="28"/>
          <w:szCs w:val="28"/>
        </w:rPr>
        <w:t>、验收方式：</w:t>
      </w:r>
    </w:p>
    <w:p>
      <w:pPr>
        <w:autoSpaceDE w:val="0"/>
        <w:autoSpaceDN w:val="0"/>
        <w:ind w:firstLine="560" w:firstLineChars="200"/>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1、白蚁巢内须有蚁后，并且蚁巢直径达100mm以上为一窝，小于100mm不计数。 </w:t>
      </w:r>
    </w:p>
    <w:p>
      <w:pPr>
        <w:autoSpaceDE w:val="0"/>
        <w:autoSpaceDN w:val="0"/>
        <w:ind w:firstLine="560" w:firstLineChars="200"/>
        <w:rPr>
          <w:rFonts w:ascii="宋体" w:hAnsi="宋体" w:eastAsia="宋体" w:cs="宋体"/>
          <w:sz w:val="28"/>
          <w:szCs w:val="28"/>
        </w:rPr>
      </w:pPr>
      <w:r>
        <w:rPr>
          <w:rFonts w:hint="eastAsia" w:ascii="仿宋_GB2312" w:hAnsi="仿宋" w:eastAsia="仿宋_GB2312" w:cs="Times New Roman"/>
          <w:kern w:val="0"/>
          <w:sz w:val="28"/>
          <w:szCs w:val="28"/>
        </w:rPr>
        <w:t>2、对校园绿化及建筑物施药面积以询价表中的固定量结算。</w:t>
      </w:r>
    </w:p>
    <w:p>
      <w:pPr>
        <w:autoSpaceDE w:val="0"/>
        <w:autoSpaceDN w:val="0"/>
        <w:ind w:firstLine="562" w:firstLineChars="200"/>
        <w:rPr>
          <w:rFonts w:ascii="仿宋" w:hAnsi="仿宋" w:eastAsia="仿宋" w:cs="宋体"/>
          <w:b/>
          <w:sz w:val="28"/>
          <w:szCs w:val="28"/>
        </w:rPr>
      </w:pPr>
      <w:r>
        <w:rPr>
          <w:rFonts w:hint="eastAsia" w:ascii="仿宋" w:hAnsi="仿宋" w:eastAsia="仿宋" w:cs="宋体"/>
          <w:b/>
          <w:sz w:val="28"/>
          <w:szCs w:val="28"/>
          <w:lang w:eastAsia="zh-CN"/>
        </w:rPr>
        <w:t>十</w:t>
      </w:r>
      <w:r>
        <w:rPr>
          <w:rFonts w:hint="eastAsia" w:ascii="仿宋" w:hAnsi="仿宋" w:eastAsia="仿宋" w:cs="宋体"/>
          <w:b/>
          <w:sz w:val="28"/>
          <w:szCs w:val="28"/>
        </w:rPr>
        <w:t>、结算方式：</w:t>
      </w:r>
    </w:p>
    <w:p>
      <w:pPr>
        <w:autoSpaceDE w:val="0"/>
        <w:autoSpaceDN w:val="0"/>
        <w:ind w:firstLine="560" w:firstLineChars="200"/>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1、以每年治理施工完工后按实际工作量×</w:t>
      </w:r>
      <w:r>
        <w:rPr>
          <w:rFonts w:hint="eastAsia" w:ascii="仿宋_GB2312" w:hAnsi="仿宋" w:eastAsia="仿宋_GB2312" w:cs="Times New Roman"/>
          <w:kern w:val="0"/>
          <w:sz w:val="28"/>
          <w:szCs w:val="28"/>
          <w:lang w:eastAsia="zh-CN"/>
        </w:rPr>
        <w:t>报价单价</w:t>
      </w:r>
      <w:r>
        <w:rPr>
          <w:rFonts w:hint="eastAsia" w:ascii="仿宋_GB2312" w:hAnsi="仿宋" w:eastAsia="仿宋_GB2312" w:cs="Times New Roman"/>
          <w:kern w:val="0"/>
          <w:sz w:val="28"/>
          <w:szCs w:val="28"/>
        </w:rPr>
        <w:t>办理结算。</w:t>
      </w:r>
    </w:p>
    <w:p>
      <w:pPr>
        <w:autoSpaceDE w:val="0"/>
        <w:autoSpaceDN w:val="0"/>
        <w:ind w:firstLine="560" w:firstLineChars="200"/>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2、付款方式：每年支付一次，治理施工完工后二十个工作日内支付100%结算价。结算时乙方须提供普通发票和经双方核实的工作量。</w:t>
      </w:r>
    </w:p>
    <w:p>
      <w:pPr>
        <w:autoSpaceDE w:val="0"/>
        <w:autoSpaceDN w:val="0"/>
        <w:ind w:firstLine="562" w:firstLineChars="200"/>
        <w:rPr>
          <w:rFonts w:hint="eastAsia" w:ascii="仿宋_GB2312" w:hAnsi="仿宋" w:eastAsia="仿宋_GB2312" w:cs="Times New Roman"/>
          <w:b/>
          <w:bCs/>
          <w:kern w:val="0"/>
          <w:sz w:val="28"/>
          <w:szCs w:val="28"/>
        </w:rPr>
      </w:pPr>
      <w:r>
        <w:rPr>
          <w:rFonts w:hint="eastAsia" w:ascii="仿宋_GB2312" w:hAnsi="仿宋" w:eastAsia="仿宋_GB2312" w:cs="Times New Roman"/>
          <w:b/>
          <w:bCs/>
          <w:kern w:val="0"/>
          <w:sz w:val="28"/>
          <w:szCs w:val="28"/>
        </w:rPr>
        <w:t>十</w:t>
      </w:r>
      <w:r>
        <w:rPr>
          <w:rFonts w:hint="eastAsia" w:ascii="仿宋_GB2312" w:hAnsi="仿宋" w:eastAsia="仿宋_GB2312" w:cs="Times New Roman"/>
          <w:b/>
          <w:bCs/>
          <w:kern w:val="0"/>
          <w:sz w:val="28"/>
          <w:szCs w:val="28"/>
          <w:lang w:eastAsia="zh-CN"/>
        </w:rPr>
        <w:t>一</w:t>
      </w:r>
      <w:r>
        <w:rPr>
          <w:rFonts w:hint="eastAsia" w:ascii="仿宋_GB2312" w:hAnsi="仿宋" w:eastAsia="仿宋_GB2312" w:cs="Times New Roman"/>
          <w:b/>
          <w:bCs/>
          <w:kern w:val="0"/>
          <w:sz w:val="28"/>
          <w:szCs w:val="28"/>
        </w:rPr>
        <w:t>、评审标准：</w:t>
      </w:r>
    </w:p>
    <w:p>
      <w:pPr>
        <w:autoSpaceDE w:val="0"/>
        <w:autoSpaceDN w:val="0"/>
        <w:ind w:firstLine="562" w:firstLineChars="200"/>
        <w:rPr>
          <w:rFonts w:hint="eastAsia" w:ascii="仿宋_GB2312" w:hAnsi="仿宋" w:eastAsia="仿宋_GB2312" w:cs="Times New Roman"/>
          <w:kern w:val="0"/>
          <w:sz w:val="28"/>
          <w:szCs w:val="28"/>
        </w:rPr>
      </w:pPr>
      <w:r>
        <w:rPr>
          <w:rFonts w:hint="eastAsia" w:ascii="仿宋_GB2312" w:hAnsi="仿宋" w:eastAsia="仿宋_GB2312" w:cs="Times New Roman"/>
          <w:b/>
          <w:bCs/>
          <w:kern w:val="0"/>
          <w:sz w:val="28"/>
          <w:szCs w:val="28"/>
          <w:lang w:val="en-US" w:eastAsia="zh-CN"/>
        </w:rPr>
        <w:t>1、</w:t>
      </w:r>
      <w:r>
        <w:rPr>
          <w:rFonts w:hint="eastAsia" w:ascii="仿宋_GB2312" w:hAnsi="仿宋" w:eastAsia="仿宋_GB2312" w:cs="Times New Roman"/>
          <w:kern w:val="0"/>
          <w:sz w:val="28"/>
          <w:szCs w:val="28"/>
        </w:rPr>
        <w:t>成交供应商的确定：推荐</w:t>
      </w:r>
      <w:r>
        <w:rPr>
          <w:rFonts w:hint="eastAsia" w:ascii="仿宋_GB2312" w:hAnsi="仿宋" w:eastAsia="仿宋_GB2312" w:cs="Times New Roman"/>
          <w:kern w:val="0"/>
          <w:sz w:val="28"/>
          <w:szCs w:val="28"/>
          <w:lang w:eastAsia="zh-CN"/>
        </w:rPr>
        <w:t>报</w:t>
      </w:r>
      <w:r>
        <w:rPr>
          <w:rFonts w:hint="eastAsia" w:ascii="仿宋_GB2312" w:hAnsi="仿宋" w:eastAsia="仿宋_GB2312" w:cs="Times New Roman"/>
          <w:kern w:val="0"/>
          <w:sz w:val="28"/>
          <w:szCs w:val="28"/>
        </w:rPr>
        <w:t>价</w:t>
      </w:r>
      <w:r>
        <w:rPr>
          <w:rFonts w:hint="eastAsia" w:ascii="仿宋_GB2312" w:hAnsi="仿宋" w:eastAsia="仿宋_GB2312" w:cs="Times New Roman"/>
          <w:kern w:val="0"/>
          <w:sz w:val="28"/>
          <w:szCs w:val="28"/>
          <w:lang w:eastAsia="zh-CN"/>
        </w:rPr>
        <w:t>合计金额</w:t>
      </w:r>
      <w:r>
        <w:rPr>
          <w:rFonts w:hint="eastAsia" w:ascii="仿宋_GB2312" w:hAnsi="仿宋" w:eastAsia="仿宋_GB2312" w:cs="Times New Roman"/>
          <w:kern w:val="0"/>
          <w:sz w:val="28"/>
          <w:szCs w:val="28"/>
        </w:rPr>
        <w:t>最低的供应商为成交供应商</w:t>
      </w:r>
      <w:r>
        <w:rPr>
          <w:rFonts w:hint="eastAsia" w:ascii="仿宋_GB2312" w:hAnsi="仿宋" w:eastAsia="仿宋_GB2312" w:cs="Times New Roman"/>
          <w:kern w:val="0"/>
          <w:sz w:val="28"/>
          <w:szCs w:val="28"/>
          <w:lang w:eastAsia="zh-CN"/>
        </w:rPr>
        <w:t>，报</w:t>
      </w:r>
      <w:r>
        <w:rPr>
          <w:rFonts w:hint="eastAsia" w:ascii="仿宋_GB2312" w:hAnsi="仿宋" w:eastAsia="仿宋_GB2312" w:cs="Times New Roman"/>
          <w:kern w:val="0"/>
          <w:sz w:val="28"/>
          <w:szCs w:val="28"/>
        </w:rPr>
        <w:t>价</w:t>
      </w:r>
      <w:r>
        <w:rPr>
          <w:rFonts w:hint="eastAsia" w:ascii="仿宋_GB2312" w:hAnsi="仿宋" w:eastAsia="仿宋_GB2312" w:cs="Times New Roman"/>
          <w:kern w:val="0"/>
          <w:sz w:val="28"/>
          <w:szCs w:val="28"/>
          <w:lang w:eastAsia="zh-CN"/>
        </w:rPr>
        <w:t>合计金额</w:t>
      </w:r>
      <w:r>
        <w:rPr>
          <w:rFonts w:hint="eastAsia" w:ascii="仿宋_GB2312" w:hAnsi="仿宋" w:eastAsia="仿宋_GB2312" w:cs="Times New Roman"/>
          <w:kern w:val="0"/>
          <w:sz w:val="28"/>
          <w:szCs w:val="28"/>
        </w:rPr>
        <w:t>相同</w:t>
      </w:r>
      <w:r>
        <w:rPr>
          <w:rFonts w:hint="eastAsia" w:ascii="仿宋_GB2312" w:hAnsi="仿宋" w:eastAsia="仿宋_GB2312" w:cs="Times New Roman"/>
          <w:kern w:val="0"/>
          <w:sz w:val="28"/>
          <w:szCs w:val="28"/>
          <w:lang w:eastAsia="zh-CN"/>
        </w:rPr>
        <w:t>时</w:t>
      </w:r>
      <w:r>
        <w:rPr>
          <w:rFonts w:hint="eastAsia" w:ascii="仿宋_GB2312" w:hAnsi="仿宋" w:eastAsia="仿宋_GB2312" w:cs="Times New Roman"/>
          <w:kern w:val="0"/>
          <w:sz w:val="28"/>
          <w:szCs w:val="28"/>
        </w:rPr>
        <w:t>由评审委员会投票表决。</w:t>
      </w:r>
    </w:p>
    <w:p>
      <w:pPr>
        <w:widowControl w:val="0"/>
        <w:numPr>
          <w:ilvl w:val="0"/>
          <w:numId w:val="0"/>
        </w:numPr>
        <w:autoSpaceDE w:val="0"/>
        <w:autoSpaceDN w:val="0"/>
        <w:jc w:val="both"/>
        <w:rPr>
          <w:rFonts w:hint="eastAsia" w:ascii="仿宋_GB2312" w:hAnsi="仿宋" w:eastAsia="仿宋_GB2312" w:cs="Times New Roman"/>
          <w:kern w:val="0"/>
          <w:sz w:val="28"/>
          <w:szCs w:val="28"/>
        </w:rPr>
        <w:sectPr>
          <w:pgSz w:w="11906" w:h="16838"/>
          <w:pgMar w:top="1135" w:right="1800" w:bottom="1440" w:left="1800" w:header="851" w:footer="992" w:gutter="0"/>
          <w:cols w:space="425" w:num="1"/>
          <w:docGrid w:type="lines" w:linePitch="312" w:charSpace="0"/>
        </w:sectPr>
      </w:pPr>
    </w:p>
    <w:p>
      <w:pPr>
        <w:autoSpaceDE w:val="0"/>
        <w:autoSpaceDN w:val="0"/>
        <w:rPr>
          <w:rFonts w:hint="eastAsia" w:ascii="仿宋_GB2312" w:hAnsi="仿宋" w:eastAsia="仿宋_GB2312" w:cs="Times New Roman"/>
          <w:kern w:val="0"/>
          <w:sz w:val="28"/>
          <w:szCs w:val="28"/>
        </w:rPr>
      </w:pPr>
      <w:r>
        <w:rPr>
          <w:rFonts w:hint="eastAsia" w:ascii="仿宋" w:hAnsi="仿宋" w:eastAsia="仿宋" w:cs="宋体"/>
          <w:b/>
          <w:sz w:val="28"/>
          <w:szCs w:val="28"/>
        </w:rPr>
        <w:t>十</w:t>
      </w:r>
      <w:r>
        <w:rPr>
          <w:rFonts w:hint="eastAsia" w:ascii="仿宋" w:hAnsi="仿宋" w:eastAsia="仿宋" w:cs="宋体"/>
          <w:b/>
          <w:sz w:val="28"/>
          <w:szCs w:val="28"/>
          <w:lang w:eastAsia="zh-CN"/>
        </w:rPr>
        <w:t>二</w:t>
      </w:r>
      <w:r>
        <w:rPr>
          <w:rFonts w:hint="eastAsia" w:ascii="仿宋" w:hAnsi="仿宋" w:eastAsia="仿宋" w:cs="宋体"/>
          <w:b/>
          <w:sz w:val="28"/>
          <w:szCs w:val="28"/>
        </w:rPr>
        <w:t>、白蚁防治服务报价表：</w:t>
      </w:r>
    </w:p>
    <w:tbl>
      <w:tblPr>
        <w:tblStyle w:val="5"/>
        <w:tblW w:w="14972" w:type="dxa"/>
        <w:tblInd w:w="-805" w:type="dxa"/>
        <w:tblLayout w:type="fixed"/>
        <w:tblCellMar>
          <w:top w:w="0" w:type="dxa"/>
          <w:left w:w="108" w:type="dxa"/>
          <w:bottom w:w="0" w:type="dxa"/>
          <w:right w:w="108" w:type="dxa"/>
        </w:tblCellMar>
      </w:tblPr>
      <w:tblGrid>
        <w:gridCol w:w="797"/>
        <w:gridCol w:w="541"/>
        <w:gridCol w:w="839"/>
        <w:gridCol w:w="945"/>
        <w:gridCol w:w="1110"/>
        <w:gridCol w:w="2130"/>
        <w:gridCol w:w="1902"/>
        <w:gridCol w:w="6708"/>
      </w:tblGrid>
      <w:tr>
        <w:tblPrEx>
          <w:tblLayout w:type="fixed"/>
          <w:tblCellMar>
            <w:top w:w="0" w:type="dxa"/>
            <w:left w:w="108" w:type="dxa"/>
            <w:bottom w:w="0" w:type="dxa"/>
            <w:right w:w="108" w:type="dxa"/>
          </w:tblCellMar>
        </w:tblPrEx>
        <w:trPr>
          <w:trHeight w:val="570" w:hRule="atLeast"/>
        </w:trPr>
        <w:tc>
          <w:tcPr>
            <w:tcW w:w="14972" w:type="dxa"/>
            <w:gridSpan w:val="8"/>
            <w:tcBorders>
              <w:top w:val="nil"/>
              <w:left w:val="nil"/>
              <w:bottom w:val="nil"/>
              <w:right w:val="nil"/>
            </w:tcBorders>
            <w:shd w:val="clear" w:color="auto" w:fill="auto"/>
            <w:vAlign w:val="center"/>
          </w:tcPr>
          <w:p>
            <w:pPr>
              <w:widowControl/>
              <w:jc w:val="left"/>
              <w:textAlignment w:val="center"/>
              <w:rPr>
                <w:rFonts w:ascii="仿宋" w:hAnsi="仿宋" w:eastAsia="仿宋" w:cs="宋体"/>
                <w:kern w:val="0"/>
                <w:sz w:val="24"/>
              </w:rPr>
            </w:pPr>
            <w:r>
              <w:rPr>
                <w:rFonts w:hint="eastAsia" w:ascii="仿宋" w:hAnsi="仿宋" w:eastAsia="仿宋" w:cs="宋体"/>
                <w:color w:val="000000"/>
                <w:kern w:val="0"/>
                <w:sz w:val="24"/>
                <w:lang w:bidi="ar"/>
              </w:rPr>
              <w:t xml:space="preserve">报价单位：（盖章）        </w:t>
            </w:r>
            <w:r>
              <w:rPr>
                <w:rStyle w:val="15"/>
                <w:rFonts w:hint="default" w:ascii="仿宋" w:hAnsi="仿宋" w:eastAsia="仿宋"/>
                <w:lang w:bidi="ar"/>
              </w:rPr>
              <w:t xml:space="preserve">           报价人：           </w:t>
            </w:r>
            <w:r>
              <w:rPr>
                <w:rStyle w:val="15"/>
                <w:rFonts w:hint="eastAsia" w:ascii="仿宋" w:hAnsi="仿宋" w:eastAsia="仿宋"/>
                <w:lang w:val="en-US" w:eastAsia="zh-CN" w:bidi="ar"/>
              </w:rPr>
              <w:t xml:space="preserve">                                       联系电话：</w:t>
            </w:r>
            <w:r>
              <w:rPr>
                <w:rStyle w:val="15"/>
                <w:rFonts w:hint="default" w:ascii="仿宋" w:hAnsi="仿宋" w:eastAsia="仿宋"/>
                <w:lang w:bidi="ar"/>
              </w:rPr>
              <w:t xml:space="preserve">         </w:t>
            </w:r>
          </w:p>
        </w:tc>
      </w:tr>
      <w:tr>
        <w:tblPrEx>
          <w:tblLayout w:type="fixed"/>
          <w:tblCellMar>
            <w:top w:w="0" w:type="dxa"/>
            <w:left w:w="108" w:type="dxa"/>
            <w:bottom w:w="0" w:type="dxa"/>
            <w:right w:w="108" w:type="dxa"/>
          </w:tblCellMar>
        </w:tblPrEx>
        <w:trPr>
          <w:trHeight w:val="70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序号</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防治名称</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单位</w:t>
            </w:r>
          </w:p>
        </w:tc>
        <w:tc>
          <w:tcPr>
            <w:tcW w:w="1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宋体"/>
                <w:color w:val="000000"/>
                <w:kern w:val="0"/>
                <w:sz w:val="28"/>
                <w:szCs w:val="28"/>
                <w:lang w:eastAsia="zh-CN" w:bidi="ar"/>
              </w:rPr>
            </w:pPr>
            <w:r>
              <w:rPr>
                <w:rFonts w:hint="eastAsia" w:ascii="仿宋" w:hAnsi="仿宋" w:eastAsia="仿宋" w:cs="宋体"/>
                <w:color w:val="000000"/>
                <w:kern w:val="0"/>
                <w:sz w:val="28"/>
                <w:szCs w:val="28"/>
                <w:lang w:eastAsia="zh-CN" w:bidi="ar"/>
              </w:rPr>
              <w:t>参考量</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报价单价（元）</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宋体"/>
                <w:color w:val="000000"/>
                <w:kern w:val="0"/>
                <w:sz w:val="28"/>
                <w:szCs w:val="28"/>
                <w:lang w:eastAsia="zh-CN" w:bidi="ar"/>
              </w:rPr>
            </w:pPr>
            <w:r>
              <w:rPr>
                <w:rFonts w:hint="eastAsia" w:ascii="仿宋" w:hAnsi="仿宋" w:eastAsia="仿宋" w:cs="宋体"/>
                <w:color w:val="000000"/>
                <w:kern w:val="0"/>
                <w:sz w:val="28"/>
                <w:szCs w:val="28"/>
                <w:lang w:eastAsia="zh-CN" w:bidi="ar"/>
              </w:rPr>
              <w:t>小计金额（元）</w:t>
            </w:r>
          </w:p>
        </w:tc>
        <w:tc>
          <w:tcPr>
            <w:tcW w:w="6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备注</w:t>
            </w:r>
          </w:p>
        </w:tc>
      </w:tr>
      <w:tr>
        <w:tblPrEx>
          <w:tblLayout w:type="fixed"/>
          <w:tblCellMar>
            <w:top w:w="0" w:type="dxa"/>
            <w:left w:w="108" w:type="dxa"/>
            <w:bottom w:w="0" w:type="dxa"/>
            <w:right w:w="108" w:type="dxa"/>
          </w:tblCellMar>
        </w:tblPrEx>
        <w:trPr>
          <w:trHeight w:val="852"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1</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挖窝巢</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210</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kern w:val="0"/>
                <w:sz w:val="28"/>
                <w:szCs w:val="28"/>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0"/>
                <w:sz w:val="28"/>
                <w:szCs w:val="28"/>
              </w:rPr>
            </w:pP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宋体"/>
                <w:kern w:val="0"/>
                <w:sz w:val="28"/>
                <w:szCs w:val="28"/>
                <w:lang w:val="en-US" w:eastAsia="zh-CN"/>
              </w:rPr>
            </w:pPr>
            <w:r>
              <w:rPr>
                <w:rFonts w:hint="eastAsia" w:ascii="仿宋" w:hAnsi="仿宋" w:eastAsia="仿宋" w:cs="宋体"/>
                <w:color w:val="000000"/>
                <w:kern w:val="0"/>
                <w:sz w:val="28"/>
                <w:szCs w:val="28"/>
                <w:lang w:bidi="ar"/>
              </w:rPr>
              <w:t>1.蚁巢直径达100mm以上为一窝且巢内有蚁后；2.报价单价不得超过预算金额300元/个</w:t>
            </w:r>
            <w:r>
              <w:rPr>
                <w:rFonts w:hint="eastAsia" w:ascii="仿宋" w:hAnsi="仿宋" w:eastAsia="仿宋" w:cs="宋体"/>
                <w:color w:val="000000"/>
                <w:kern w:val="0"/>
                <w:sz w:val="28"/>
                <w:szCs w:val="28"/>
                <w:lang w:val="en-US" w:eastAsia="zh-CN" w:bidi="ar"/>
              </w:rPr>
              <w:t>.</w:t>
            </w:r>
          </w:p>
        </w:tc>
      </w:tr>
      <w:tr>
        <w:tblPrEx>
          <w:tblLayout w:type="fixed"/>
          <w:tblCellMar>
            <w:top w:w="0" w:type="dxa"/>
            <w:left w:w="108" w:type="dxa"/>
            <w:bottom w:w="0" w:type="dxa"/>
            <w:right w:w="108" w:type="dxa"/>
          </w:tblCellMar>
        </w:tblPrEx>
        <w:trPr>
          <w:trHeight w:val="1386" w:hRule="atLeast"/>
        </w:trPr>
        <w:tc>
          <w:tcPr>
            <w:tcW w:w="7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2</w:t>
            </w:r>
          </w:p>
        </w:tc>
        <w:tc>
          <w:tcPr>
            <w:tcW w:w="5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施药</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绿化</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项/年</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kern w:val="0"/>
                <w:sz w:val="28"/>
                <w:szCs w:val="28"/>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0"/>
                <w:sz w:val="28"/>
                <w:szCs w:val="28"/>
              </w:rPr>
            </w:pP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宋体"/>
                <w:kern w:val="0"/>
                <w:sz w:val="28"/>
                <w:szCs w:val="28"/>
                <w:lang w:val="en-US" w:eastAsia="zh-CN"/>
              </w:rPr>
            </w:pPr>
            <w:r>
              <w:rPr>
                <w:rFonts w:hint="eastAsia" w:ascii="仿宋" w:hAnsi="仿宋" w:eastAsia="仿宋" w:cs="宋体"/>
                <w:color w:val="000000"/>
                <w:kern w:val="0"/>
                <w:sz w:val="28"/>
                <w:szCs w:val="28"/>
                <w:lang w:bidi="ar"/>
              </w:rPr>
              <w:t>1.对全院现有（约6万平方米）绿化进行喷药，结算年度内出现蚁患施药不另行收费；2.此项报价单价不得超过预算金额5000元</w:t>
            </w:r>
            <w:r>
              <w:rPr>
                <w:rFonts w:hint="eastAsia" w:ascii="仿宋" w:hAnsi="仿宋" w:eastAsia="仿宋" w:cs="宋体"/>
                <w:color w:val="000000"/>
                <w:kern w:val="0"/>
                <w:sz w:val="28"/>
                <w:szCs w:val="28"/>
                <w:lang w:val="en-US" w:eastAsia="zh-CN" w:bidi="ar"/>
              </w:rPr>
              <w:t>。</w:t>
            </w:r>
          </w:p>
        </w:tc>
      </w:tr>
      <w:tr>
        <w:tblPrEx>
          <w:tblLayout w:type="fixed"/>
          <w:tblCellMar>
            <w:top w:w="0" w:type="dxa"/>
            <w:left w:w="108" w:type="dxa"/>
            <w:bottom w:w="0" w:type="dxa"/>
            <w:right w:w="108" w:type="dxa"/>
          </w:tblCellMar>
        </w:tblPrEx>
        <w:trPr>
          <w:trHeight w:val="540" w:hRule="atLeast"/>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8"/>
                <w:szCs w:val="28"/>
              </w:rPr>
            </w:pPr>
          </w:p>
        </w:tc>
        <w:tc>
          <w:tcPr>
            <w:tcW w:w="54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8"/>
                <w:szCs w:val="28"/>
              </w:rPr>
            </w:pP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建筑物</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项/年</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kern w:val="0"/>
                <w:sz w:val="28"/>
                <w:szCs w:val="28"/>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0"/>
                <w:sz w:val="28"/>
                <w:szCs w:val="28"/>
              </w:rPr>
            </w:pP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bidi="ar"/>
              </w:rPr>
              <w:t>1.对全院现有（38栋楼宇）建筑物外围及首层大厅、走廊进行喷药，结算年度内出现蚁患施药不另行收费；2.此项报价单价不得超过预算金额3000元</w:t>
            </w:r>
            <w:r>
              <w:rPr>
                <w:rFonts w:hint="eastAsia" w:ascii="仿宋" w:hAnsi="仿宋" w:eastAsia="仿宋" w:cs="宋体"/>
                <w:color w:val="000000"/>
                <w:kern w:val="0"/>
                <w:sz w:val="28"/>
                <w:szCs w:val="28"/>
                <w:lang w:val="en-US" w:eastAsia="zh-CN" w:bidi="ar"/>
              </w:rPr>
              <w:t>。</w:t>
            </w:r>
          </w:p>
        </w:tc>
      </w:tr>
      <w:tr>
        <w:tblPrEx>
          <w:tblLayout w:type="fixed"/>
          <w:tblCellMar>
            <w:top w:w="0" w:type="dxa"/>
            <w:left w:w="108" w:type="dxa"/>
            <w:bottom w:w="0" w:type="dxa"/>
            <w:right w:w="108" w:type="dxa"/>
          </w:tblCellMar>
        </w:tblPrEx>
        <w:trPr>
          <w:trHeight w:val="540" w:hRule="atLeast"/>
        </w:trPr>
        <w:tc>
          <w:tcPr>
            <w:tcW w:w="6362"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合计金额（元）</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0"/>
                <w:sz w:val="28"/>
                <w:szCs w:val="28"/>
              </w:rPr>
            </w:pP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宋体"/>
                <w:color w:val="000000"/>
                <w:kern w:val="0"/>
                <w:sz w:val="28"/>
                <w:szCs w:val="28"/>
                <w:lang w:bidi="ar"/>
              </w:rPr>
            </w:pPr>
          </w:p>
        </w:tc>
      </w:tr>
    </w:tbl>
    <w:p>
      <w:pPr>
        <w:widowControl w:val="0"/>
        <w:numPr>
          <w:ilvl w:val="0"/>
          <w:numId w:val="0"/>
        </w:numPr>
        <w:autoSpaceDE w:val="0"/>
        <w:autoSpaceDN w:val="0"/>
        <w:jc w:val="both"/>
        <w:rPr>
          <w:rFonts w:hint="eastAsia" w:ascii="仿宋_GB2312" w:hAnsi="仿宋" w:eastAsia="仿宋_GB2312" w:cs="Times New Roman"/>
          <w:kern w:val="0"/>
          <w:sz w:val="28"/>
          <w:szCs w:val="28"/>
        </w:rPr>
        <w:sectPr>
          <w:pgSz w:w="16838" w:h="11906" w:orient="landscape"/>
          <w:pgMar w:top="1800" w:right="1135" w:bottom="1800" w:left="1440" w:header="851" w:footer="992" w:gutter="0"/>
          <w:cols w:space="425" w:num="1"/>
          <w:docGrid w:type="lines" w:linePitch="312" w:charSpace="0"/>
        </w:sectPr>
      </w:pPr>
    </w:p>
    <w:p>
      <w:pPr>
        <w:autoSpaceDE w:val="0"/>
        <w:autoSpaceDN w:val="0"/>
        <w:rPr>
          <w:rFonts w:ascii="仿宋" w:hAnsi="仿宋" w:eastAsia="仿宋" w:cs="宋体"/>
          <w:b/>
          <w:sz w:val="28"/>
          <w:szCs w:val="28"/>
        </w:rPr>
      </w:pPr>
      <w:r>
        <w:rPr>
          <w:rFonts w:hint="eastAsia" w:ascii="仿宋" w:hAnsi="仿宋" w:eastAsia="仿宋" w:cs="宋体"/>
          <w:b/>
          <w:sz w:val="28"/>
          <w:szCs w:val="28"/>
        </w:rPr>
        <w:t>十</w:t>
      </w:r>
      <w:r>
        <w:rPr>
          <w:rFonts w:hint="eastAsia" w:ascii="仿宋" w:hAnsi="仿宋" w:eastAsia="仿宋" w:cs="宋体"/>
          <w:b/>
          <w:sz w:val="28"/>
          <w:szCs w:val="28"/>
          <w:lang w:eastAsia="zh-CN"/>
        </w:rPr>
        <w:t>三</w:t>
      </w:r>
      <w:r>
        <w:rPr>
          <w:rFonts w:hint="eastAsia" w:ascii="仿宋" w:hAnsi="仿宋" w:eastAsia="仿宋" w:cs="宋体"/>
          <w:b/>
          <w:sz w:val="28"/>
          <w:szCs w:val="28"/>
        </w:rPr>
        <w:t>、白蚁防治服务协议书：</w:t>
      </w:r>
    </w:p>
    <w:p>
      <w:pPr>
        <w:jc w:val="center"/>
        <w:rPr>
          <w:rFonts w:ascii="方正小标宋简体" w:eastAsia="方正小标宋简体"/>
          <w:sz w:val="44"/>
          <w:szCs w:val="44"/>
        </w:rPr>
      </w:pPr>
      <w:r>
        <w:rPr>
          <w:rFonts w:hint="eastAsia" w:ascii="方正小标宋简体" w:eastAsia="方正小标宋简体"/>
          <w:sz w:val="44"/>
          <w:szCs w:val="44"/>
        </w:rPr>
        <w:t>白蚁防治服务协议书</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甲方：广东松山职业技术学院</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乙方： </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广东松山职业技术学院校区内的白蚁防治工作委托乙方进行有偿治理服务。经双方充分协商达成以下协议：</w:t>
      </w:r>
    </w:p>
    <w:p>
      <w:pPr>
        <w:pStyle w:val="14"/>
        <w:ind w:firstLine="645"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一、本服务项目协议期限叁年（2019年  月 日至2022年   月   日止）。</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二、协议总金额：人民币9万元/3年（以实际工作量结算，每年不得超过3万元）。 </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三、乙方自备工具，派出专业技术人员对甲方校内进行全面检查，挖掘蚁巢、投放药物；所用药物均符合国家相关环保标准。</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四、乙方派专业人员找出白蚁纷飞孔，路道跟踪追挖出窝巢，捉出蚁王。并在巢内施药，杀死全部白蚁，达到除根治本的目的。</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1、乙方需对已挖掘的蚁穴做安全处理后并对破坏的场地予以恢复，若对构建物、道路、花坛实施开挖须事前经甲方同意。</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五、乙方派专业人员对校园内绿化及建筑物外围及首层大厅、走廊，施以专治白蚁防治药物，杜绝食源，使白蚁带药归巢，互相传染中毒死亡。</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六、甲方负责做好施工过程中的有关协调工作。</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七、每年治理施工完成后，乙方应每季度对全院绿化及建筑物外围及首层大厅、走廊进行一次喷药；若出现蚁患，由乙方三日内派人到场处理，一切费用由乙方承担。</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八、签订协议前缴纳人民币伍千元整（￥5000.00）履约保证金，协议期满后无违约予以无息退还。</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九、结算办法：</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1、以每年治理施工完工后按实际工作量</w:t>
      </w:r>
      <w:r>
        <w:rPr>
          <w:rFonts w:hint="eastAsia" w:ascii="仿宋_GB2312" w:hAnsi="仿宋" w:eastAsia="仿宋_GB2312" w:cs="Times New Roman"/>
          <w:kern w:val="0"/>
          <w:sz w:val="28"/>
          <w:szCs w:val="28"/>
        </w:rPr>
        <w:t>×</w:t>
      </w:r>
      <w:r>
        <w:rPr>
          <w:rFonts w:hint="eastAsia" w:ascii="仿宋_GB2312" w:hAnsi="仿宋" w:eastAsia="仿宋_GB2312" w:cs="Times New Roman"/>
          <w:kern w:val="0"/>
          <w:sz w:val="28"/>
          <w:szCs w:val="28"/>
          <w:lang w:eastAsia="zh-CN"/>
        </w:rPr>
        <w:t>报价单价</w:t>
      </w:r>
      <w:r>
        <w:rPr>
          <w:rFonts w:hint="eastAsia" w:ascii="仿宋_GB2312" w:hAnsi="仿宋_GB2312" w:eastAsia="仿宋_GB2312" w:cs="仿宋_GB2312"/>
          <w:sz w:val="30"/>
          <w:szCs w:val="30"/>
        </w:rPr>
        <w:t>办理结算。</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2、付款方式：每年支付一次，治理施工完工后二十个工作日内支付100%结算价。结算时乙方须提供普通发票和经双方核实的工作量。</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十、验收方式：</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1、白蚁巢内须有蚁后，并且蚁巢直径达100mm以上为一窝，小于100mm不计数。 </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2、对校园绿化及建筑物施药面积以询价表中的固定量结算。</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十一、违约责任：</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1、维护期甲方发现蚁患电话通知乙方三日内未能及时处理的从履约保证金中每次扣500元。</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2、维护期内未对绿化或建筑物</w:t>
      </w:r>
      <w:r>
        <w:rPr>
          <w:rFonts w:hint="eastAsia" w:ascii="仿宋_GB2312" w:hAnsi="仿宋_GB2312" w:eastAsia="仿宋_GB2312" w:cs="仿宋_GB2312"/>
          <w:kern w:val="0"/>
          <w:sz w:val="30"/>
          <w:szCs w:val="30"/>
        </w:rPr>
        <w:t>喷药的</w:t>
      </w:r>
      <w:r>
        <w:rPr>
          <w:rFonts w:hint="eastAsia" w:ascii="仿宋_GB2312" w:hAnsi="仿宋_GB2312" w:eastAsia="仿宋_GB2312" w:cs="仿宋_GB2312"/>
          <w:sz w:val="30"/>
          <w:szCs w:val="30"/>
        </w:rPr>
        <w:t>从履约保证金中每次扣除1000元。</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2、未对已挖掘的蚁穴进行回填。将扣除年度结算总价的10%。</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3、如乙方违反协议中条款或协议期间擅自中止协议不予以退还履约保证金。</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十二、其它约定事项：乙方在进行挖掘蚁穴、投放药物作业时，现场周边须设安全警示标识，必须遵守国家有关规定及甲方有关校园管理的规定，确保安全、文明施工。如因乙方操作不当，导致设备、设施损环或人身伤亡事故，均由乙方负责。</w:t>
      </w:r>
      <w:bookmarkStart w:id="0" w:name="_GoBack"/>
      <w:bookmarkEnd w:id="0"/>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十三、协议争议的解决：因本协议发生的任何争议，由协议双方友好协商解决，协商不成的依法向协议签订地人民法院起诉解决。</w:t>
      </w:r>
    </w:p>
    <w:p>
      <w:pPr>
        <w:pStyle w:val="14"/>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十四、未尽事宜，由双方共同协商解决。</w:t>
      </w:r>
    </w:p>
    <w:p>
      <w:pPr>
        <w:pStyle w:val="14"/>
        <w:ind w:firstLine="645"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十五、本协议一式五份，甲方持四份，乙方持一份，具有同等法律效力。</w:t>
      </w:r>
    </w:p>
    <w:p>
      <w:pPr>
        <w:pStyle w:val="14"/>
        <w:ind w:firstLine="645"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十六、协议附件：《白蚁防治服务报价表》</w:t>
      </w:r>
    </w:p>
    <w:p>
      <w:pPr>
        <w:ind w:firstLine="750" w:firstLineChars="250"/>
        <w:rPr>
          <w:rFonts w:ascii="仿宋_GB2312" w:hAnsi="仿宋_GB2312" w:eastAsia="仿宋_GB2312" w:cs="仿宋_GB2312"/>
          <w:sz w:val="30"/>
          <w:szCs w:val="30"/>
        </w:rPr>
      </w:pPr>
      <w:r>
        <w:rPr>
          <w:rFonts w:hint="eastAsia" w:ascii="仿宋_GB2312" w:hAnsi="仿宋_GB2312" w:eastAsia="仿宋_GB2312" w:cs="仿宋_GB2312"/>
          <w:sz w:val="30"/>
          <w:szCs w:val="30"/>
        </w:rPr>
        <w:t>甲方（盖章）：</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乙方（盖章）：</w:t>
      </w:r>
    </w:p>
    <w:tbl>
      <w:tblPr>
        <w:tblStyle w:val="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22"/>
        <w:gridCol w:w="1478"/>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462" w:type="dxa"/>
            <w:gridSpan w:val="2"/>
          </w:tcPr>
          <w:p>
            <w:pPr>
              <w:ind w:firstLine="1920" w:firstLineChars="800"/>
              <w:rPr>
                <w:rFonts w:ascii="仿宋_GB2312" w:hAnsi="仿宋_GB2312" w:eastAsia="仿宋_GB2312" w:cs="仿宋_GB2312"/>
                <w:sz w:val="24"/>
              </w:rPr>
            </w:pPr>
            <w:r>
              <w:rPr>
                <w:rFonts w:hint="eastAsia" w:ascii="仿宋_GB2312" w:hAnsi="仿宋_GB2312" w:eastAsia="仿宋_GB2312" w:cs="仿宋_GB2312"/>
                <w:sz w:val="24"/>
              </w:rPr>
              <w:t>甲 方</w:t>
            </w:r>
          </w:p>
        </w:tc>
        <w:tc>
          <w:tcPr>
            <w:tcW w:w="4718" w:type="dxa"/>
            <w:gridSpan w:val="2"/>
          </w:tcPr>
          <w:p>
            <w:pPr>
              <w:ind w:firstLine="1920" w:firstLineChars="800"/>
              <w:rPr>
                <w:rFonts w:ascii="仿宋_GB2312" w:hAnsi="仿宋_GB2312" w:eastAsia="仿宋_GB2312" w:cs="仿宋_GB2312"/>
                <w:sz w:val="24"/>
              </w:rPr>
            </w:pPr>
            <w:r>
              <w:rPr>
                <w:rFonts w:hint="eastAsia" w:ascii="仿宋_GB2312" w:hAnsi="仿宋_GB2312" w:eastAsia="仿宋_GB2312" w:cs="仿宋_GB2312"/>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44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3022"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广东松山职业技术学院</w:t>
            </w:r>
          </w:p>
        </w:tc>
        <w:tc>
          <w:tcPr>
            <w:tcW w:w="147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44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3022"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韶关市曲江区马坝南华</w:t>
            </w:r>
          </w:p>
        </w:tc>
        <w:tc>
          <w:tcPr>
            <w:tcW w:w="147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法定</w:t>
            </w:r>
          </w:p>
          <w:p>
            <w:pPr>
              <w:jc w:val="center"/>
              <w:rPr>
                <w:rFonts w:ascii="仿宋_GB2312" w:hAnsi="仿宋_GB2312" w:eastAsia="仿宋_GB2312" w:cs="仿宋_GB2312"/>
                <w:sz w:val="24"/>
              </w:rPr>
            </w:pPr>
            <w:r>
              <w:rPr>
                <w:rFonts w:hint="eastAsia" w:ascii="仿宋_GB2312" w:hAnsi="仿宋_GB2312" w:eastAsia="仿宋_GB2312" w:cs="仿宋_GB2312"/>
                <w:sz w:val="24"/>
              </w:rPr>
              <w:t>代表人</w:t>
            </w:r>
          </w:p>
        </w:tc>
        <w:tc>
          <w:tcPr>
            <w:tcW w:w="3022" w:type="dxa"/>
            <w:vAlign w:val="center"/>
          </w:tcPr>
          <w:p>
            <w:pPr>
              <w:ind w:firstLine="284"/>
              <w:jc w:val="center"/>
              <w:rPr>
                <w:rFonts w:ascii="仿宋_GB2312" w:hAnsi="仿宋_GB2312" w:eastAsia="仿宋_GB2312" w:cs="仿宋_GB2312"/>
                <w:sz w:val="24"/>
              </w:rPr>
            </w:pPr>
          </w:p>
        </w:tc>
        <w:tc>
          <w:tcPr>
            <w:tcW w:w="1478"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法定</w:t>
            </w:r>
          </w:p>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代表人</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0" w:type="dxa"/>
            <w:vAlign w:val="center"/>
          </w:tcPr>
          <w:p>
            <w:pPr>
              <w:ind w:firstLine="284"/>
              <w:rPr>
                <w:rFonts w:ascii="仿宋_GB2312" w:hAnsi="仿宋_GB2312" w:eastAsia="仿宋_GB2312" w:cs="仿宋_GB2312"/>
                <w:sz w:val="24"/>
              </w:rPr>
            </w:pPr>
            <w:r>
              <w:rPr>
                <w:rFonts w:hint="eastAsia" w:ascii="仿宋_GB2312" w:hAnsi="仿宋_GB2312" w:eastAsia="仿宋_GB2312" w:cs="仿宋_GB2312"/>
                <w:sz w:val="24"/>
              </w:rPr>
              <w:t>委托</w:t>
            </w:r>
          </w:p>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代理人</w:t>
            </w:r>
          </w:p>
        </w:tc>
        <w:tc>
          <w:tcPr>
            <w:tcW w:w="3022" w:type="dxa"/>
            <w:vAlign w:val="center"/>
          </w:tcPr>
          <w:p>
            <w:pPr>
              <w:ind w:firstLine="284"/>
              <w:jc w:val="center"/>
              <w:rPr>
                <w:rFonts w:ascii="仿宋_GB2312" w:hAnsi="仿宋_GB2312" w:eastAsia="仿宋_GB2312" w:cs="仿宋_GB2312"/>
                <w:sz w:val="24"/>
              </w:rPr>
            </w:pPr>
          </w:p>
        </w:tc>
        <w:tc>
          <w:tcPr>
            <w:tcW w:w="1478" w:type="dxa"/>
            <w:vAlign w:val="center"/>
          </w:tcPr>
          <w:p>
            <w:pPr>
              <w:ind w:firstLine="284"/>
              <w:rPr>
                <w:rFonts w:ascii="仿宋_GB2312" w:hAnsi="仿宋_GB2312" w:eastAsia="仿宋_GB2312" w:cs="仿宋_GB2312"/>
                <w:sz w:val="24"/>
              </w:rPr>
            </w:pPr>
            <w:r>
              <w:rPr>
                <w:rFonts w:hint="eastAsia" w:ascii="仿宋_GB2312" w:hAnsi="仿宋_GB2312" w:eastAsia="仿宋_GB2312" w:cs="仿宋_GB2312"/>
                <w:sz w:val="24"/>
              </w:rPr>
              <w:t>委托</w:t>
            </w:r>
          </w:p>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代理人</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1440" w:type="dxa"/>
            <w:vAlign w:val="center"/>
          </w:tcPr>
          <w:p>
            <w:pPr>
              <w:ind w:firstLine="284"/>
              <w:rPr>
                <w:rFonts w:ascii="仿宋_GB2312" w:hAnsi="仿宋_GB2312" w:eastAsia="仿宋_GB2312" w:cs="仿宋_GB2312"/>
                <w:sz w:val="24"/>
              </w:rPr>
            </w:pPr>
            <w:r>
              <w:rPr>
                <w:rFonts w:hint="eastAsia" w:ascii="仿宋_GB2312" w:hAnsi="仿宋_GB2312" w:eastAsia="仿宋_GB2312" w:cs="仿宋_GB2312"/>
                <w:sz w:val="24"/>
              </w:rPr>
              <w:t>经办人</w:t>
            </w:r>
          </w:p>
        </w:tc>
        <w:tc>
          <w:tcPr>
            <w:tcW w:w="3022" w:type="dxa"/>
            <w:vAlign w:val="center"/>
          </w:tcPr>
          <w:p>
            <w:pPr>
              <w:ind w:firstLine="284"/>
              <w:jc w:val="center"/>
              <w:rPr>
                <w:rFonts w:ascii="仿宋_GB2312" w:hAnsi="仿宋_GB2312" w:eastAsia="仿宋_GB2312" w:cs="仿宋_GB2312"/>
                <w:sz w:val="24"/>
              </w:rPr>
            </w:pPr>
          </w:p>
          <w:p>
            <w:pPr>
              <w:ind w:firstLine="284"/>
              <w:jc w:val="center"/>
              <w:rPr>
                <w:rFonts w:ascii="仿宋_GB2312" w:hAnsi="仿宋_GB2312" w:eastAsia="仿宋_GB2312" w:cs="仿宋_GB2312"/>
                <w:sz w:val="24"/>
              </w:rPr>
            </w:pPr>
          </w:p>
        </w:tc>
        <w:tc>
          <w:tcPr>
            <w:tcW w:w="1478" w:type="dxa"/>
            <w:vAlign w:val="center"/>
          </w:tcPr>
          <w:p>
            <w:pPr>
              <w:ind w:firstLine="284"/>
              <w:rPr>
                <w:rFonts w:ascii="仿宋_GB2312" w:hAnsi="仿宋_GB2312" w:eastAsia="仿宋_GB2312" w:cs="仿宋_GB2312"/>
                <w:sz w:val="24"/>
              </w:rPr>
            </w:pPr>
            <w:r>
              <w:rPr>
                <w:rFonts w:hint="eastAsia" w:ascii="仿宋_GB2312" w:hAnsi="仿宋_GB2312" w:eastAsia="仿宋_GB2312" w:cs="仿宋_GB2312"/>
                <w:sz w:val="24"/>
              </w:rPr>
              <w:t>经办人</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44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签订时间</w:t>
            </w:r>
          </w:p>
        </w:tc>
        <w:tc>
          <w:tcPr>
            <w:tcW w:w="3022" w:type="dxa"/>
            <w:vAlign w:val="center"/>
          </w:tcPr>
          <w:p>
            <w:pPr>
              <w:ind w:firstLine="284"/>
              <w:jc w:val="center"/>
              <w:rPr>
                <w:rFonts w:ascii="仿宋_GB2312" w:hAnsi="仿宋_GB2312" w:eastAsia="仿宋_GB2312" w:cs="仿宋_GB2312"/>
                <w:sz w:val="24"/>
              </w:rPr>
            </w:pPr>
          </w:p>
        </w:tc>
        <w:tc>
          <w:tcPr>
            <w:tcW w:w="147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签订时间</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022"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0751-6502992</w:t>
            </w:r>
          </w:p>
        </w:tc>
        <w:tc>
          <w:tcPr>
            <w:tcW w:w="1478"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3022"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0751-6502829</w:t>
            </w:r>
          </w:p>
        </w:tc>
        <w:tc>
          <w:tcPr>
            <w:tcW w:w="1478"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3022" w:type="dxa"/>
            <w:vAlign w:val="center"/>
          </w:tcPr>
          <w:p>
            <w:pPr>
              <w:ind w:firstLine="284"/>
              <w:jc w:val="center"/>
              <w:rPr>
                <w:rFonts w:ascii="仿宋_GB2312" w:hAnsi="仿宋_GB2312" w:eastAsia="仿宋_GB2312" w:cs="仿宋_GB2312"/>
                <w:sz w:val="24"/>
              </w:rPr>
            </w:pPr>
            <w:r>
              <w:rPr>
                <w:rFonts w:hint="eastAsia" w:ascii="仿宋_GB2312" w:hAnsi="仿宋_GB2312" w:eastAsia="仿宋_GB2312" w:cs="仿宋_GB2312"/>
                <w:sz w:val="24"/>
              </w:rPr>
              <w:t>512126</w:t>
            </w:r>
          </w:p>
        </w:tc>
        <w:tc>
          <w:tcPr>
            <w:tcW w:w="147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302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中国工商银行韶关松山支行</w:t>
            </w:r>
          </w:p>
        </w:tc>
        <w:tc>
          <w:tcPr>
            <w:tcW w:w="147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3240" w:type="dxa"/>
            <w:vAlign w:val="center"/>
          </w:tcPr>
          <w:p>
            <w:pPr>
              <w:ind w:firstLine="284"/>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ind w:firstLine="284"/>
              <w:rPr>
                <w:rFonts w:ascii="仿宋_GB2312" w:hAnsi="仿宋_GB2312" w:eastAsia="仿宋_GB2312" w:cs="仿宋_GB2312"/>
                <w:sz w:val="24"/>
              </w:rPr>
            </w:pPr>
            <w:r>
              <w:rPr>
                <w:rFonts w:hint="eastAsia" w:ascii="仿宋_GB2312" w:hAnsi="仿宋_GB2312" w:eastAsia="仿宋_GB2312" w:cs="仿宋_GB2312"/>
                <w:sz w:val="24"/>
              </w:rPr>
              <w:t>帐号</w:t>
            </w:r>
          </w:p>
        </w:tc>
        <w:tc>
          <w:tcPr>
            <w:tcW w:w="3022" w:type="dxa"/>
          </w:tcPr>
          <w:p>
            <w:pPr>
              <w:rPr>
                <w:rFonts w:ascii="仿宋_GB2312" w:hAnsi="仿宋_GB2312" w:eastAsia="仿宋_GB2312" w:cs="仿宋_GB2312"/>
                <w:sz w:val="24"/>
              </w:rPr>
            </w:pPr>
            <w:r>
              <w:rPr>
                <w:rFonts w:hint="eastAsia" w:ascii="仿宋_GB2312" w:hAnsi="仿宋_GB2312" w:eastAsia="仿宋_GB2312" w:cs="仿宋_GB2312"/>
                <w:sz w:val="24"/>
              </w:rPr>
              <w:t>2005022619024913475</w:t>
            </w:r>
          </w:p>
        </w:tc>
        <w:tc>
          <w:tcPr>
            <w:tcW w:w="1478" w:type="dxa"/>
          </w:tcPr>
          <w:p>
            <w:pPr>
              <w:ind w:firstLine="284"/>
              <w:rPr>
                <w:rFonts w:ascii="仿宋_GB2312" w:hAnsi="仿宋_GB2312" w:eastAsia="仿宋_GB2312" w:cs="仿宋_GB2312"/>
                <w:sz w:val="24"/>
              </w:rPr>
            </w:pPr>
            <w:r>
              <w:rPr>
                <w:rFonts w:hint="eastAsia" w:ascii="仿宋_GB2312" w:hAnsi="仿宋_GB2312" w:eastAsia="仿宋_GB2312" w:cs="仿宋_GB2312"/>
                <w:sz w:val="24"/>
              </w:rPr>
              <w:t>帐号</w:t>
            </w:r>
          </w:p>
        </w:tc>
        <w:tc>
          <w:tcPr>
            <w:tcW w:w="3240" w:type="dxa"/>
          </w:tcPr>
          <w:p>
            <w:pPr>
              <w:ind w:firstLine="284"/>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ind w:firstLine="284"/>
              <w:rPr>
                <w:rFonts w:ascii="仿宋_GB2312" w:hAnsi="仿宋_GB2312" w:eastAsia="仿宋_GB2312" w:cs="仿宋_GB2312"/>
                <w:sz w:val="24"/>
              </w:rPr>
            </w:pPr>
            <w:r>
              <w:rPr>
                <w:rFonts w:hint="eastAsia" w:ascii="仿宋_GB2312" w:hAnsi="仿宋_GB2312" w:eastAsia="仿宋_GB2312" w:cs="仿宋_GB2312"/>
                <w:sz w:val="24"/>
              </w:rPr>
              <w:t>税码</w:t>
            </w:r>
          </w:p>
        </w:tc>
        <w:tc>
          <w:tcPr>
            <w:tcW w:w="3022" w:type="dxa"/>
          </w:tcPr>
          <w:p>
            <w:pPr>
              <w:ind w:firstLine="284"/>
              <w:rPr>
                <w:rFonts w:ascii="仿宋_GB2312" w:hAnsi="仿宋_GB2312" w:eastAsia="仿宋_GB2312" w:cs="仿宋_GB2312"/>
                <w:sz w:val="24"/>
              </w:rPr>
            </w:pPr>
          </w:p>
        </w:tc>
        <w:tc>
          <w:tcPr>
            <w:tcW w:w="1478" w:type="dxa"/>
          </w:tcPr>
          <w:p>
            <w:pPr>
              <w:ind w:firstLine="284"/>
              <w:rPr>
                <w:rFonts w:ascii="仿宋_GB2312" w:hAnsi="仿宋_GB2312" w:eastAsia="仿宋_GB2312" w:cs="仿宋_GB2312"/>
                <w:sz w:val="24"/>
              </w:rPr>
            </w:pPr>
            <w:r>
              <w:rPr>
                <w:rFonts w:hint="eastAsia" w:ascii="仿宋_GB2312" w:hAnsi="仿宋_GB2312" w:eastAsia="仿宋_GB2312" w:cs="仿宋_GB2312"/>
                <w:sz w:val="24"/>
              </w:rPr>
              <w:t>税码</w:t>
            </w:r>
          </w:p>
        </w:tc>
        <w:tc>
          <w:tcPr>
            <w:tcW w:w="3240" w:type="dxa"/>
          </w:tcPr>
          <w:p>
            <w:pPr>
              <w:ind w:firstLine="284"/>
              <w:rPr>
                <w:rFonts w:ascii="仿宋_GB2312" w:hAnsi="仿宋_GB2312" w:eastAsia="仿宋_GB2312" w:cs="仿宋_GB2312"/>
                <w:sz w:val="24"/>
              </w:rPr>
            </w:pPr>
          </w:p>
        </w:tc>
      </w:tr>
    </w:tbl>
    <w:p>
      <w:pPr>
        <w:autoSpaceDE w:val="0"/>
        <w:autoSpaceDN w:val="0"/>
        <w:jc w:val="left"/>
        <w:rPr>
          <w:rFonts w:ascii="宋体" w:hAnsi="宋体"/>
          <w:bCs/>
          <w:sz w:val="28"/>
          <w:szCs w:val="28"/>
        </w:rPr>
      </w:pPr>
    </w:p>
    <w:sectPr>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4578"/>
    <w:rsid w:val="0004123D"/>
    <w:rsid w:val="0005781F"/>
    <w:rsid w:val="000A208D"/>
    <w:rsid w:val="000C30F9"/>
    <w:rsid w:val="000F477C"/>
    <w:rsid w:val="00115513"/>
    <w:rsid w:val="00165605"/>
    <w:rsid w:val="00165D48"/>
    <w:rsid w:val="00172A27"/>
    <w:rsid w:val="00181DA9"/>
    <w:rsid w:val="001A0CFC"/>
    <w:rsid w:val="001A1949"/>
    <w:rsid w:val="001C607D"/>
    <w:rsid w:val="002464FE"/>
    <w:rsid w:val="00293DF4"/>
    <w:rsid w:val="002966AC"/>
    <w:rsid w:val="002D4038"/>
    <w:rsid w:val="00365361"/>
    <w:rsid w:val="00384383"/>
    <w:rsid w:val="00385694"/>
    <w:rsid w:val="004273C6"/>
    <w:rsid w:val="0045419D"/>
    <w:rsid w:val="004B2DCA"/>
    <w:rsid w:val="004E1D54"/>
    <w:rsid w:val="0050166F"/>
    <w:rsid w:val="005315D3"/>
    <w:rsid w:val="00591AFF"/>
    <w:rsid w:val="005A160D"/>
    <w:rsid w:val="005B4BD1"/>
    <w:rsid w:val="005B65E0"/>
    <w:rsid w:val="005C69D4"/>
    <w:rsid w:val="005D2302"/>
    <w:rsid w:val="005E220A"/>
    <w:rsid w:val="006514A2"/>
    <w:rsid w:val="00662705"/>
    <w:rsid w:val="006718B5"/>
    <w:rsid w:val="0069783B"/>
    <w:rsid w:val="006B566F"/>
    <w:rsid w:val="00712F3A"/>
    <w:rsid w:val="007144C0"/>
    <w:rsid w:val="0071714E"/>
    <w:rsid w:val="00731C13"/>
    <w:rsid w:val="007447A1"/>
    <w:rsid w:val="007D4669"/>
    <w:rsid w:val="007F4AE1"/>
    <w:rsid w:val="007F678F"/>
    <w:rsid w:val="00805FBE"/>
    <w:rsid w:val="008508B8"/>
    <w:rsid w:val="00856019"/>
    <w:rsid w:val="008741C2"/>
    <w:rsid w:val="008A2BEF"/>
    <w:rsid w:val="008D113E"/>
    <w:rsid w:val="008D521C"/>
    <w:rsid w:val="008E7CAF"/>
    <w:rsid w:val="009209CA"/>
    <w:rsid w:val="00950CFE"/>
    <w:rsid w:val="00A03E1D"/>
    <w:rsid w:val="00A470FA"/>
    <w:rsid w:val="00A55036"/>
    <w:rsid w:val="00A67D3B"/>
    <w:rsid w:val="00A80A39"/>
    <w:rsid w:val="00A94124"/>
    <w:rsid w:val="00AF07C0"/>
    <w:rsid w:val="00AF5FF0"/>
    <w:rsid w:val="00B0527A"/>
    <w:rsid w:val="00B1659D"/>
    <w:rsid w:val="00B654C4"/>
    <w:rsid w:val="00BB726F"/>
    <w:rsid w:val="00BD0267"/>
    <w:rsid w:val="00BE7329"/>
    <w:rsid w:val="00C11A09"/>
    <w:rsid w:val="00C142D5"/>
    <w:rsid w:val="00C16908"/>
    <w:rsid w:val="00C355F4"/>
    <w:rsid w:val="00C755A6"/>
    <w:rsid w:val="00CB6934"/>
    <w:rsid w:val="00CD2570"/>
    <w:rsid w:val="00D14FB7"/>
    <w:rsid w:val="00D20191"/>
    <w:rsid w:val="00D20C67"/>
    <w:rsid w:val="00D61F13"/>
    <w:rsid w:val="00D87146"/>
    <w:rsid w:val="00D9777B"/>
    <w:rsid w:val="00DA5260"/>
    <w:rsid w:val="00DE1DD7"/>
    <w:rsid w:val="00E225B5"/>
    <w:rsid w:val="00E362F6"/>
    <w:rsid w:val="00E36FD8"/>
    <w:rsid w:val="00E778D5"/>
    <w:rsid w:val="00E96F43"/>
    <w:rsid w:val="00EB0827"/>
    <w:rsid w:val="00ED6451"/>
    <w:rsid w:val="00ED6669"/>
    <w:rsid w:val="00EE15A1"/>
    <w:rsid w:val="00F00AE8"/>
    <w:rsid w:val="00F16B87"/>
    <w:rsid w:val="00F41EC2"/>
    <w:rsid w:val="00F4356C"/>
    <w:rsid w:val="00FB6393"/>
    <w:rsid w:val="00FF7318"/>
    <w:rsid w:val="08F44810"/>
    <w:rsid w:val="0C9037BF"/>
    <w:rsid w:val="0D1F4AFB"/>
    <w:rsid w:val="0DCB16B8"/>
    <w:rsid w:val="0FC42086"/>
    <w:rsid w:val="1F2E42A9"/>
    <w:rsid w:val="1FC6566B"/>
    <w:rsid w:val="1FF74C0A"/>
    <w:rsid w:val="22022B8A"/>
    <w:rsid w:val="23451CE3"/>
    <w:rsid w:val="248F51C1"/>
    <w:rsid w:val="2D95784D"/>
    <w:rsid w:val="2E966C7D"/>
    <w:rsid w:val="30E50A8F"/>
    <w:rsid w:val="370559EF"/>
    <w:rsid w:val="37375A1C"/>
    <w:rsid w:val="40CD59FB"/>
    <w:rsid w:val="49E2722D"/>
    <w:rsid w:val="4B9D3E88"/>
    <w:rsid w:val="542A6F4D"/>
    <w:rsid w:val="613678F8"/>
    <w:rsid w:val="61EA5A42"/>
    <w:rsid w:val="637323CE"/>
    <w:rsid w:val="65A9539A"/>
    <w:rsid w:val="67791580"/>
    <w:rsid w:val="69251095"/>
    <w:rsid w:val="69EC7683"/>
    <w:rsid w:val="6E156839"/>
    <w:rsid w:val="7172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页眉 Char"/>
    <w:basedOn w:val="7"/>
    <w:link w:val="3"/>
    <w:qFormat/>
    <w:uiPriority w:val="0"/>
    <w:rPr>
      <w:rFonts w:asciiTheme="minorHAnsi" w:hAnsiTheme="minorHAnsi" w:eastAsiaTheme="minorEastAsia" w:cstheme="minorBidi"/>
      <w:kern w:val="2"/>
      <w:sz w:val="18"/>
      <w:szCs w:val="18"/>
    </w:rPr>
  </w:style>
  <w:style w:type="character" w:customStyle="1" w:styleId="11">
    <w:name w:val="页脚 Char"/>
    <w:basedOn w:val="7"/>
    <w:link w:val="2"/>
    <w:qFormat/>
    <w:uiPriority w:val="0"/>
    <w:rPr>
      <w:rFonts w:asciiTheme="minorHAnsi" w:hAnsiTheme="minorHAnsi" w:eastAsiaTheme="minorEastAsia" w:cstheme="minorBidi"/>
      <w:kern w:val="2"/>
      <w:sz w:val="18"/>
      <w:szCs w:val="18"/>
    </w:rPr>
  </w:style>
  <w:style w:type="paragraph" w:customStyle="1" w:styleId="12">
    <w:name w:val="Char Char Char Char Char Char Char Char Char Char Char Char Char Char Char"/>
    <w:basedOn w:val="1"/>
    <w:qFormat/>
    <w:uiPriority w:val="0"/>
    <w:pPr>
      <w:widowControl/>
      <w:spacing w:line="400" w:lineRule="exact"/>
      <w:jc w:val="center"/>
    </w:pPr>
    <w:rPr>
      <w:rFonts w:ascii="Times New Roman" w:hAnsi="Times New Roman" w:eastAsia="宋体" w:cs="Times New Roman"/>
    </w:rPr>
  </w:style>
  <w:style w:type="character" w:customStyle="1" w:styleId="13">
    <w:name w:val="sanxiang3 Char"/>
    <w:basedOn w:val="7"/>
    <w:qFormat/>
    <w:uiPriority w:val="0"/>
    <w:rPr>
      <w:rFonts w:ascii="宋体" w:hAnsi="宋体" w:eastAsia="黑体"/>
      <w:b/>
      <w:bCs/>
      <w:sz w:val="24"/>
      <w:szCs w:val="24"/>
      <w:lang w:val="en-US" w:eastAsia="zh-CN" w:bidi="ar-SA"/>
    </w:rPr>
  </w:style>
  <w:style w:type="paragraph" w:styleId="14">
    <w:name w:val="List Paragraph"/>
    <w:basedOn w:val="1"/>
    <w:qFormat/>
    <w:uiPriority w:val="0"/>
    <w:pPr>
      <w:ind w:firstLine="420" w:firstLineChars="200"/>
    </w:pPr>
    <w:rPr>
      <w:rFonts w:ascii="Calibri" w:hAnsi="Calibri" w:eastAsia="宋体" w:cs="Times New Roman"/>
      <w:szCs w:val="22"/>
    </w:rPr>
  </w:style>
  <w:style w:type="character" w:customStyle="1" w:styleId="15">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366</Words>
  <Characters>2090</Characters>
  <Lines>17</Lines>
  <Paragraphs>4</Paragraphs>
  <TotalTime>8</TotalTime>
  <ScaleCrop>false</ScaleCrop>
  <LinksUpToDate>false</LinksUpToDate>
  <CharactersWithSpaces>2452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2018-03-27T05:46:00Z</cp:lastPrinted>
  <dcterms:modified xsi:type="dcterms:W3CDTF">2019-03-14T06:56:50Z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